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jc w:val="right"/>
        <w:rPr>
          <w:rFonts w:ascii="宋体" w:hAnsi="宋体"/>
          <w:sz w:val="36"/>
        </w:rPr>
      </w:pPr>
      <w:r>
        <w:rPr>
          <w:rFonts w:hint="eastAsia" w:ascii="宋体" w:hAnsi="宋体"/>
          <w:sz w:val="36"/>
        </w:rPr>
        <w:t xml:space="preserve">  </w:t>
      </w:r>
      <w:r/>
    </w:p>
    <w:p>
      <w:pPr>
        <w:pStyle w:val="840"/>
        <w:jc w:val="right"/>
        <w:spacing w:line="360" w:lineRule="auto"/>
        <w:rPr>
          <w:rFonts w:ascii="宋体" w:hAnsi="宋体"/>
          <w:b/>
          <w:bCs/>
          <w:color w:val="000000"/>
          <w:sz w:val="36"/>
        </w:rPr>
      </w:pPr>
      <w:r>
        <w:rPr>
          <w:rFonts w:hint="eastAsia" w:ascii="宋体" w:hAnsi="宋体"/>
          <w:b/>
          <w:bCs/>
          <w:color w:val="000000"/>
          <w:sz w:val="36"/>
          <w:lang w:eastAsia="zh-CN"/>
        </w:rPr>
        <w:t xml:space="preserve">JSZC-320000-JSWC-G2026-0022</w:t>
      </w:r>
      <w:r>
        <w:rPr>
          <w:rFonts w:ascii="宋体" w:hAnsi="宋体"/>
          <w:b/>
          <w:bCs/>
          <w:color w:val="000000"/>
          <w:sz w:val="36"/>
        </w:rPr>
        <w:t xml:space="preserve">号</w:t>
      </w:r>
      <w:r/>
    </w:p>
    <w:p>
      <w:pPr>
        <w:pStyle w:val="840"/>
        <w:jc w:val="right"/>
        <w:spacing w:line="360" w:lineRule="auto"/>
        <w:rPr>
          <w:rFonts w:ascii="宋体" w:hAnsi="宋体"/>
          <w:sz w:val="36"/>
        </w:rPr>
      </w:pPr>
      <w:r>
        <w:rPr>
          <w:rFonts w:ascii="宋体" w:hAnsi="宋体"/>
          <w:sz w:val="36"/>
        </w:rPr>
      </w:r>
      <w:r/>
    </w:p>
    <w:p>
      <w:pPr>
        <w:pStyle w:val="840"/>
        <w:jc w:val="center"/>
        <w:spacing w:line="360" w:lineRule="auto"/>
        <w:rPr>
          <w:rFonts w:ascii="宋体" w:hAnsi="宋体"/>
          <w:b/>
          <w:bCs/>
          <w:sz w:val="36"/>
        </w:rPr>
      </w:pPr>
      <w:r>
        <w:rPr>
          <w:rFonts w:hint="eastAsia" w:ascii="宋体" w:hAnsi="宋体"/>
          <w:b/>
          <w:bCs/>
          <w:sz w:val="36"/>
        </w:rPr>
        <w:t xml:space="preserve">线上“智能石化工厂”采购项目</w:t>
      </w:r>
      <w:r/>
    </w:p>
    <w:p>
      <w:pPr>
        <w:pStyle w:val="840"/>
        <w:jc w:val="center"/>
        <w:spacing w:line="360" w:lineRule="auto"/>
        <w:rPr>
          <w:rFonts w:ascii="宋体" w:hAnsi="宋体"/>
          <w:b/>
          <w:bCs/>
          <w:sz w:val="36"/>
        </w:rPr>
      </w:pPr>
      <w:r>
        <w:rPr>
          <w:rFonts w:ascii="宋体" w:hAnsi="宋体"/>
          <w:b/>
          <w:bCs/>
          <w:sz w:val="36"/>
        </w:rPr>
        <w:t xml:space="preserve">公开招标文件</w:t>
      </w:r>
      <w:r/>
    </w:p>
    <w:p>
      <w:pPr>
        <w:pStyle w:val="840"/>
        <w:jc w:val="center"/>
        <w:tabs>
          <w:tab w:val="left" w:pos="4620" w:leader="none"/>
        </w:tabs>
        <w:rPr>
          <w:rFonts w:ascii="宋体" w:hAnsi="宋体"/>
          <w:sz w:val="36"/>
        </w:rPr>
      </w:pPr>
      <w:r>
        <w:rPr>
          <w:rFonts w:ascii="宋体" w:hAnsi="宋体"/>
          <w:sz w:val="36"/>
        </w:rPr>
      </w:r>
      <w:r/>
    </w:p>
    <w:p>
      <w:pPr>
        <w:pStyle w:val="840"/>
        <w:jc w:val="center"/>
        <w:rPr>
          <w:rFonts w:ascii="宋体" w:hAnsi="宋体"/>
          <w:sz w:val="36"/>
        </w:rPr>
      </w:pPr>
      <w:r>
        <w:rPr>
          <w:rFonts w:ascii="宋体" w:hAnsi="宋体"/>
          <w:sz w:val="36"/>
        </w:rPr>
      </w:r>
      <w:r/>
    </w:p>
    <w:p>
      <w:pPr>
        <w:pStyle w:val="840"/>
        <w:jc w:val="left"/>
        <w:rPr>
          <w:rFonts w:ascii="宋体" w:hAnsi="宋体"/>
          <w:sz w:val="36"/>
        </w:rPr>
      </w:pPr>
      <w:r>
        <w:rPr>
          <w:rFonts w:ascii="宋体" w:hAnsi="宋体"/>
          <w:sz w:val="36"/>
        </w:rPr>
        <mc:AlternateContent>
          <mc:Choice Requires="wpg">
            <w:drawing>
              <wp:inline xmlns:wp="http://schemas.openxmlformats.org/drawingml/2006/wordprocessingDrawing" distT="0" distB="0" distL="0" distR="0">
                <wp:extent cx="5591175" cy="368681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591734" cy="3686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0.2pt;height:290.3pt;mso-wrap-distance-left:0.0pt;mso-wrap-distance-top:0.0pt;mso-wrap-distance-right:0.0pt;mso-wrap-distance-bottom:0.0pt;" stroked="f">
                <v:path textboxrect="0,0,0,0"/>
                <v:imagedata r:id="rId15" o:title=""/>
              </v:shape>
            </w:pict>
          </mc:Fallback>
        </mc:AlternateContent>
      </w:r>
      <w:r/>
    </w:p>
    <w:p>
      <w:pPr>
        <w:pStyle w:val="840"/>
        <w:jc w:val="center"/>
        <w:rPr>
          <w:rFonts w:ascii="宋体" w:hAnsi="宋体"/>
          <w:sz w:val="36"/>
        </w:rPr>
      </w:pPr>
      <w:r>
        <w:rPr>
          <w:rFonts w:ascii="宋体" w:hAnsi="宋体"/>
          <w:sz w:val="36"/>
        </w:rPr>
      </w:r>
      <w:r/>
    </w:p>
    <w:p>
      <w:pPr>
        <w:pStyle w:val="840"/>
        <w:ind w:firstLine="1157"/>
        <w:spacing w:line="360" w:lineRule="auto"/>
        <w:rPr>
          <w:rFonts w:ascii="宋体" w:hAnsi="宋体"/>
          <w:b/>
          <w:bCs/>
          <w:sz w:val="32"/>
          <w:szCs w:val="32"/>
        </w:rPr>
      </w:pPr>
      <w:r>
        <w:rPr>
          <w:rFonts w:ascii="宋体" w:hAnsi="宋体"/>
          <w:b/>
          <w:bCs/>
          <w:sz w:val="32"/>
          <w:szCs w:val="32"/>
        </w:rPr>
        <w:t xml:space="preserve">采   购  人：</w:t>
      </w:r>
      <w:r>
        <w:rPr>
          <w:rFonts w:hint="eastAsia" w:ascii="宋体" w:hAnsi="宋体"/>
          <w:b/>
          <w:bCs/>
          <w:sz w:val="32"/>
          <w:szCs w:val="32"/>
        </w:rPr>
        <w:t xml:space="preserve">扬州工业职业技术学院</w:t>
      </w:r>
      <w:r/>
    </w:p>
    <w:p>
      <w:pPr>
        <w:pStyle w:val="840"/>
        <w:ind w:firstLine="1157"/>
        <w:spacing w:line="360" w:lineRule="auto"/>
        <w:rPr>
          <w:rFonts w:ascii="宋体" w:hAnsi="宋体"/>
          <w:b/>
          <w:bCs/>
          <w:sz w:val="32"/>
          <w:szCs w:val="32"/>
        </w:rPr>
      </w:pPr>
      <w:r>
        <w:rPr>
          <w:rFonts w:ascii="宋体" w:hAnsi="宋体"/>
          <w:b/>
          <w:bCs/>
          <w:sz w:val="32"/>
          <w:szCs w:val="32"/>
        </w:rPr>
        <w:t xml:space="preserve">采购代理机构(章)：江苏唯诚建设咨询有限公司</w:t>
      </w:r>
      <w:r/>
    </w:p>
    <w:p>
      <w:pPr>
        <w:pStyle w:val="840"/>
        <w:ind w:firstLine="1157"/>
        <w:spacing w:line="360" w:lineRule="auto"/>
        <w:rPr>
          <w:rFonts w:ascii="宋体" w:hAnsi="宋体"/>
          <w:b/>
          <w:bCs/>
          <w:sz w:val="32"/>
          <w:szCs w:val="32"/>
        </w:rPr>
      </w:pPr>
      <w:r>
        <w:rPr>
          <w:rFonts w:ascii="宋体" w:hAnsi="宋体"/>
          <w:b/>
          <w:bCs/>
          <w:sz w:val="32"/>
          <w:szCs w:val="32"/>
        </w:rPr>
        <w:t xml:space="preserve">发 放 日 期：</w:t>
      </w:r>
      <w:bookmarkStart w:id="0" w:name="EB59c3faf64f2a4bd092a206fb1d0c3c03"/>
      <w:r>
        <w:rPr>
          <w:rFonts w:ascii="宋体" w:hAnsi="宋体"/>
          <w:b/>
          <w:bCs/>
          <w:sz w:val="32"/>
          <w:szCs w:val="32"/>
        </w:rPr>
        <w:t xml:space="preserve"> 202</w:t>
      </w:r>
      <w:r>
        <w:rPr>
          <w:rFonts w:hint="eastAsia" w:ascii="宋体" w:hAnsi="宋体"/>
          <w:b/>
          <w:bCs/>
          <w:sz w:val="32"/>
          <w:szCs w:val="32"/>
        </w:rPr>
        <w:t xml:space="preserve">6</w:t>
      </w:r>
      <w:r>
        <w:rPr>
          <w:rFonts w:ascii="宋体" w:hAnsi="宋体"/>
          <w:b/>
          <w:bCs/>
          <w:sz w:val="32"/>
          <w:szCs w:val="32"/>
        </w:rPr>
        <w:t xml:space="preserve">年</w:t>
      </w:r>
      <w:r>
        <w:rPr>
          <w:rFonts w:hint="eastAsia" w:ascii="宋体" w:hAnsi="宋体"/>
          <w:b/>
          <w:bCs/>
          <w:sz w:val="32"/>
          <w:szCs w:val="32"/>
        </w:rPr>
        <w:t xml:space="preserve">7</w:t>
      </w:r>
      <w:r>
        <w:rPr>
          <w:rFonts w:ascii="宋体" w:hAnsi="宋体"/>
          <w:b/>
          <w:bCs/>
          <w:sz w:val="32"/>
          <w:szCs w:val="32"/>
        </w:rPr>
        <w:t xml:space="preserve">月</w:t>
      </w:r>
      <w:bookmarkEnd w:id="0"/>
      <w:r>
        <w:rPr>
          <w:rFonts w:hint="eastAsia" w:ascii="宋体" w:hAnsi="宋体"/>
          <w:b/>
          <w:bCs/>
          <w:sz w:val="32"/>
          <w:szCs w:val="32"/>
          <w:lang w:val="en-US" w:eastAsia="zh-CN"/>
        </w:rPr>
        <w:t xml:space="preserve">24</w:t>
      </w:r>
      <w:r>
        <w:rPr>
          <w:rFonts w:ascii="宋体" w:hAnsi="宋体"/>
          <w:b/>
          <w:bCs/>
          <w:sz w:val="32"/>
          <w:szCs w:val="32"/>
        </w:rPr>
        <w:t xml:space="preserve">日</w:t>
      </w:r>
      <w:r/>
    </w:p>
    <w:p>
      <w:r/>
      <w:r/>
    </w:p>
    <w:p>
      <w:r>
        <w:br w:type="page" w:clear="all"/>
      </w:r>
      <w:r/>
    </w:p>
    <w:p>
      <w:pPr>
        <w:pStyle w:val="840"/>
        <w:jc w:val="center"/>
        <w:spacing w:line="360" w:lineRule="auto"/>
        <w:rPr>
          <w:rFonts w:ascii="宋体" w:hAnsi="宋体"/>
          <w:b/>
          <w:bCs/>
          <w:sz w:val="32"/>
        </w:rPr>
      </w:pPr>
      <w:r>
        <w:rPr>
          <w:rFonts w:ascii="宋体" w:hAnsi="宋体"/>
          <w:b/>
          <w:bCs/>
          <w:sz w:val="32"/>
        </w:rPr>
        <w:t xml:space="preserve">目 录</w:t>
      </w:r>
      <w:r/>
    </w:p>
    <w:p>
      <w:pPr>
        <w:pStyle w:val="1056"/>
        <w:spacing w:line="360" w:lineRule="auto"/>
        <w:tabs>
          <w:tab w:val="right" w:pos="8296" w:leader="dot"/>
        </w:tabs>
        <w:rPr>
          <w:rFonts w:ascii="宋体" w:hAnsi="宋体"/>
        </w:rPr>
      </w:pPr>
      <w:r>
        <w:rPr>
          <w:rFonts w:hint="eastAsia" w:ascii="宋体" w:hAnsi="宋体"/>
        </w:rPr>
        <w:fldChar w:fldCharType="begin"/>
      </w:r>
      <w:r>
        <w:rPr>
          <w:rFonts w:hint="eastAsia" w:ascii="宋体" w:hAnsi="宋体"/>
        </w:rPr>
        <w:instrText xml:space="preserve"> TOC \o "1-3" \f </w:instrText>
      </w:r>
      <w:r>
        <w:rPr>
          <w:rFonts w:hint="eastAsia" w:ascii="宋体" w:hAnsi="宋体"/>
        </w:rPr>
        <w:fldChar w:fldCharType="separate"/>
      </w:r>
      <w:r>
        <w:rPr>
          <w:rFonts w:hint="eastAsia" w:ascii="宋体" w:hAnsi="宋体"/>
        </w:rPr>
        <w:t xml:space="preserve">第一章 招标公告</w:t>
      </w:r>
      <w:r>
        <w:rPr>
          <w:rFonts w:hint="eastAsia" w:ascii="宋体" w:hAnsi="宋体"/>
        </w:rPr>
        <w:tab/>
      </w:r>
      <w:r>
        <w:rPr>
          <w:rFonts w:hint="eastAsia" w:ascii="宋体" w:hAnsi="宋体"/>
        </w:rPr>
        <w:t xml:space="preserve">3</w:t>
      </w:r>
      <w:r/>
    </w:p>
    <w:p>
      <w:pPr>
        <w:pStyle w:val="1056"/>
        <w:spacing w:line="360" w:lineRule="auto"/>
        <w:tabs>
          <w:tab w:val="right" w:pos="8296" w:leader="dot"/>
        </w:tabs>
        <w:rPr>
          <w:rFonts w:ascii="宋体" w:hAnsi="宋体"/>
        </w:rPr>
      </w:pPr>
      <w:r>
        <w:rPr>
          <w:rFonts w:hint="eastAsia" w:ascii="宋体" w:hAnsi="宋体"/>
        </w:rPr>
        <w:t xml:space="preserve">第二章 投标人须知</w:t>
      </w:r>
      <w:r>
        <w:rPr>
          <w:rFonts w:hint="eastAsia" w:ascii="宋体" w:hAnsi="宋体"/>
        </w:rPr>
        <w:tab/>
      </w:r>
      <w:r>
        <w:rPr>
          <w:rFonts w:hint="eastAsia" w:ascii="宋体" w:hAnsi="宋体"/>
        </w:rPr>
        <w:t xml:space="preserve">7</w:t>
      </w:r>
      <w:r/>
    </w:p>
    <w:p>
      <w:pPr>
        <w:pStyle w:val="1056"/>
        <w:spacing w:line="360" w:lineRule="auto"/>
        <w:tabs>
          <w:tab w:val="right" w:pos="8296" w:leader="dot"/>
        </w:tabs>
        <w:rPr>
          <w:rFonts w:ascii="宋体" w:hAnsi="宋体"/>
        </w:rPr>
      </w:pPr>
      <w:r>
        <w:rPr>
          <w:rFonts w:hint="eastAsia" w:ascii="宋体" w:hAnsi="宋体"/>
        </w:rPr>
        <w:t xml:space="preserve">第三章 合同条款及格式</w:t>
      </w:r>
      <w:r>
        <w:rPr>
          <w:rFonts w:hint="eastAsia" w:ascii="宋体" w:hAnsi="宋体"/>
        </w:rPr>
        <w:tab/>
      </w:r>
      <w:r>
        <w:rPr>
          <w:rFonts w:hint="eastAsia" w:ascii="宋体" w:hAnsi="宋体"/>
        </w:rPr>
        <w:t xml:space="preserve">18</w:t>
      </w:r>
      <w:r/>
    </w:p>
    <w:p>
      <w:pPr>
        <w:pStyle w:val="1056"/>
        <w:spacing w:line="360" w:lineRule="auto"/>
        <w:tabs>
          <w:tab w:val="right" w:pos="8296" w:leader="dot"/>
        </w:tabs>
        <w:rPr>
          <w:rFonts w:ascii="宋体" w:hAnsi="宋体"/>
        </w:rPr>
      </w:pPr>
      <w:r>
        <w:rPr>
          <w:rFonts w:hint="eastAsia" w:ascii="宋体" w:hAnsi="宋体"/>
        </w:rPr>
        <w:t xml:space="preserve">第四章 项目需求</w:t>
      </w:r>
      <w:r>
        <w:rPr>
          <w:rFonts w:hint="eastAsia" w:ascii="宋体" w:hAnsi="宋体"/>
        </w:rPr>
        <w:tab/>
      </w:r>
      <w:r>
        <w:rPr>
          <w:rFonts w:hint="eastAsia" w:ascii="宋体" w:hAnsi="宋体"/>
        </w:rPr>
        <w:t xml:space="preserve">24</w:t>
      </w:r>
      <w:r/>
    </w:p>
    <w:p>
      <w:pPr>
        <w:pStyle w:val="1056"/>
        <w:spacing w:line="360" w:lineRule="auto"/>
        <w:tabs>
          <w:tab w:val="right" w:pos="8296" w:leader="dot"/>
        </w:tabs>
        <w:rPr>
          <w:rFonts w:ascii="宋体" w:hAnsi="宋体"/>
        </w:rPr>
      </w:pPr>
      <w:r>
        <w:rPr>
          <w:rFonts w:hint="eastAsia" w:ascii="宋体" w:hAnsi="宋体"/>
        </w:rPr>
        <w:t xml:space="preserve">第五章 评标方法及评标标准</w:t>
      </w:r>
      <w:r>
        <w:rPr>
          <w:rFonts w:hint="eastAsia" w:ascii="宋体" w:hAnsi="宋体"/>
        </w:rPr>
        <w:tab/>
      </w:r>
      <w:r>
        <w:rPr>
          <w:rFonts w:hint="eastAsia" w:ascii="宋体" w:hAnsi="宋体"/>
        </w:rPr>
        <w:t xml:space="preserve">50</w:t>
      </w:r>
      <w:r/>
    </w:p>
    <w:p>
      <w:pPr>
        <w:pStyle w:val="1056"/>
        <w:spacing w:line="360" w:lineRule="auto"/>
        <w:tabs>
          <w:tab w:val="right" w:pos="8296" w:leader="dot"/>
        </w:tabs>
        <w:rPr>
          <w:rFonts w:ascii="宋体" w:hAnsi="宋体"/>
          <w:sz w:val="28"/>
        </w:rPr>
      </w:pPr>
      <w:r>
        <w:rPr>
          <w:rFonts w:hint="eastAsia" w:ascii="宋体" w:hAnsi="宋体"/>
        </w:rPr>
        <w:t xml:space="preserve">第六章 投标文件格式</w:t>
      </w:r>
      <w:r>
        <w:rPr>
          <w:rFonts w:hint="eastAsia" w:ascii="宋体" w:hAnsi="宋体"/>
        </w:rPr>
        <w:tab/>
      </w:r>
      <w:r>
        <w:rPr>
          <w:rFonts w:hint="eastAsia" w:ascii="宋体" w:hAnsi="宋体"/>
        </w:rPr>
        <w:fldChar w:fldCharType="end"/>
      </w:r>
      <w:bookmarkStart w:id="1" w:name="OLE_LINK1"/>
      <w:r/>
      <w:bookmarkStart w:id="2" w:name="_Toc497133090"/>
      <w:r>
        <w:rPr>
          <w:rFonts w:hint="eastAsia" w:ascii="宋体" w:hAnsi="宋体"/>
        </w:rPr>
        <w:t xml:space="preserve">53</w:t>
      </w:r>
      <w:r/>
    </w:p>
    <w:p>
      <w:pPr>
        <w:pStyle w:val="1056"/>
        <w:spacing w:line="360" w:lineRule="auto"/>
        <w:tabs>
          <w:tab w:val="right" w:pos="8296" w:leader="dot"/>
        </w:tabs>
        <w:rPr>
          <w:rFonts w:ascii="宋体" w:hAnsi="宋体"/>
          <w:sz w:val="28"/>
        </w:rPr>
      </w:pPr>
      <w:r>
        <w:rPr>
          <w:rFonts w:ascii="宋体" w:hAnsi="宋体"/>
          <w:sz w:val="28"/>
        </w:rPr>
      </w:r>
      <w:r/>
    </w:p>
    <w:p>
      <w:pPr>
        <w:pStyle w:val="1056"/>
        <w:jc w:val="right"/>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spacing w:line="360" w:lineRule="auto"/>
        <w:tabs>
          <w:tab w:val="right" w:pos="8296" w:leader="dot"/>
        </w:tabs>
        <w:rPr>
          <w:rFonts w:ascii="宋体" w:hAnsi="宋体"/>
          <w:sz w:val="28"/>
        </w:rPr>
      </w:pPr>
      <w:r>
        <w:rPr>
          <w:rFonts w:ascii="宋体" w:hAnsi="宋体"/>
          <w:sz w:val="28"/>
        </w:rPr>
      </w:r>
      <w:r/>
    </w:p>
    <w:p>
      <w:pPr>
        <w:pStyle w:val="1056"/>
        <w:jc w:val="center"/>
        <w:spacing w:line="360" w:lineRule="auto"/>
        <w:tabs>
          <w:tab w:val="right" w:pos="8296" w:leader="dot"/>
        </w:tabs>
        <w:rPr>
          <w:rFonts w:ascii="宋体" w:hAnsi="宋体"/>
          <w:b/>
          <w:bCs/>
          <w:sz w:val="36"/>
        </w:rPr>
      </w:pPr>
      <w:r>
        <w:rPr>
          <w:rFonts w:ascii="宋体" w:hAnsi="宋体"/>
          <w:b/>
          <w:bCs/>
          <w:sz w:val="36"/>
        </w:rPr>
        <w:t xml:space="preserve">第一章 招标公告</w:t>
      </w:r>
      <w:bookmarkEnd w:id="1"/>
      <w:r/>
      <w:bookmarkEnd w:id="2"/>
      <w:r/>
      <w:r/>
    </w:p>
    <w:p>
      <w:pPr>
        <w:pStyle w:val="840"/>
        <w:ind w:firstLine="420"/>
        <w:spacing w:line="360" w:lineRule="auto"/>
        <w:tabs>
          <w:tab w:val="left" w:pos="266" w:leader="none"/>
        </w:tabs>
        <w:rPr>
          <w:rFonts w:ascii="宋体" w:hAnsi="宋体" w:cs="宋体"/>
          <w:szCs w:val="21"/>
        </w:rPr>
      </w:pPr>
      <w:r/>
      <w:bookmarkStart w:id="3" w:name="_Toc497133091"/>
      <w:r>
        <w:rPr>
          <w:rFonts w:hint="eastAsia" w:ascii="宋体" w:hAnsi="宋体" w:cs="宋体"/>
          <w:szCs w:val="21"/>
        </w:rPr>
        <w:t xml:space="preserve">受扬州工业职业技术学院的委托，江苏唯诚建设咨询有限公司就线上“智能石化工厂”采购项目进行公开招标采购，欢迎符合条件的供应商投标。</w:t>
      </w:r>
      <w:r/>
    </w:p>
    <w:p>
      <w:pPr>
        <w:pStyle w:val="840"/>
        <w:ind w:firstLine="422"/>
        <w:spacing w:line="360" w:lineRule="auto"/>
        <w:rPr>
          <w:rFonts w:ascii="宋体" w:hAnsi="宋体" w:cs="宋体"/>
          <w:b/>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rPr>
        <w:t xml:space="preserve">项目概况</w:t>
      </w:r>
      <w:r/>
    </w:p>
    <w:p>
      <w:pPr>
        <w:pStyle w:val="840"/>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线上“智能石化工厂”采购项目 </w:t>
      </w:r>
      <w:r>
        <w:rPr>
          <w:rFonts w:hint="eastAsia" w:ascii="宋体" w:hAnsi="宋体" w:cs="宋体"/>
          <w:szCs w:val="21"/>
        </w:rPr>
        <w:t xml:space="preserve">招标项目的潜在投标人可在</w:t>
      </w:r>
      <w:r>
        <w:rPr>
          <w:rFonts w:hint="eastAsia" w:ascii="宋体" w:hAnsi="宋体" w:cs="宋体"/>
          <w:szCs w:val="21"/>
          <w:u w:val="single"/>
        </w:rPr>
        <w:t xml:space="preserve">“江苏省政府采购网”、“中国政府采购网”自行免费下载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日14点30分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840"/>
        <w:spacing w:line="360" w:lineRule="auto"/>
        <w:tabs>
          <w:tab w:val="left" w:pos="266" w:leader="none"/>
        </w:tabs>
        <w:rPr>
          <w:rFonts w:ascii="宋体" w:hAnsi="宋体" w:cs="宋体"/>
          <w:b/>
          <w:bCs/>
          <w:szCs w:val="21"/>
        </w:rPr>
      </w:pPr>
      <w:r/>
      <w:bookmarkStart w:id="4" w:name="_Toc38985263"/>
      <w:r>
        <w:rPr>
          <w:rFonts w:hint="eastAsia" w:ascii="宋体" w:hAnsi="宋体" w:cs="宋体"/>
          <w:b/>
          <w:bCs/>
          <w:szCs w:val="21"/>
        </w:rPr>
        <w:t xml:space="preserve">一、项目基本情况</w:t>
      </w:r>
      <w:bookmarkEnd w:id="4"/>
      <w:r/>
      <w:r/>
    </w:p>
    <w:p>
      <w:pPr>
        <w:pStyle w:val="840"/>
        <w:ind w:firstLine="420"/>
        <w:spacing w:line="360" w:lineRule="auto"/>
        <w:rPr>
          <w:rFonts w:hint="eastAsia" w:ascii="宋体" w:hAnsi="宋体" w:eastAsia="宋体" w:cs="宋体"/>
          <w:color w:val="ff0000"/>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JSZC-320000-JSWC-G2026-0022</w:t>
      </w:r>
      <w:r/>
    </w:p>
    <w:p>
      <w:pPr>
        <w:pStyle w:val="840"/>
        <w:ind w:firstLine="420"/>
        <w:spacing w:line="360" w:lineRule="auto"/>
        <w:rPr>
          <w:rFonts w:hint="eastAsia" w:ascii="宋体" w:hAnsi="宋体" w:cs="宋体"/>
          <w:szCs w:val="21"/>
        </w:rPr>
      </w:pPr>
      <w:r>
        <w:rPr>
          <w:rFonts w:hint="eastAsia" w:ascii="宋体" w:hAnsi="宋体" w:cs="宋体"/>
          <w:szCs w:val="21"/>
        </w:rPr>
        <w:t xml:space="preserve">2.项目名称：线上“智能石化工厂”采购项目</w:t>
      </w:r>
      <w:r/>
    </w:p>
    <w:p>
      <w:pPr>
        <w:pStyle w:val="840"/>
        <w:ind w:firstLine="420"/>
        <w:spacing w:line="360" w:lineRule="auto"/>
        <w:rPr>
          <w:rFonts w:hint="eastAsia" w:ascii="宋体" w:hAnsi="宋体" w:cs="宋体"/>
          <w:szCs w:val="21"/>
        </w:rPr>
      </w:pPr>
      <w:r>
        <w:rPr>
          <w:rFonts w:hint="eastAsia" w:ascii="宋体" w:hAnsi="宋体" w:cs="宋体"/>
          <w:szCs w:val="21"/>
        </w:rPr>
        <w:t xml:space="preserve">3.预算金额：100万元</w:t>
      </w:r>
      <w:r/>
    </w:p>
    <w:p>
      <w:pPr>
        <w:pStyle w:val="840"/>
        <w:ind w:firstLine="420"/>
        <w:spacing w:line="360" w:lineRule="auto"/>
        <w:rPr>
          <w:rFonts w:hint="eastAsia" w:ascii="宋体" w:hAnsi="宋体" w:cs="宋体"/>
          <w:szCs w:val="21"/>
        </w:rPr>
      </w:pPr>
      <w:r>
        <w:rPr>
          <w:rFonts w:hint="eastAsia" w:ascii="宋体" w:hAnsi="宋体" w:cs="宋体"/>
          <w:szCs w:val="21"/>
        </w:rPr>
        <w:t xml:space="preserve">4.最高限价：100万元</w:t>
      </w:r>
      <w:r/>
    </w:p>
    <w:p>
      <w:pPr>
        <w:pStyle w:val="840"/>
        <w:ind w:firstLine="420"/>
        <w:spacing w:line="360" w:lineRule="auto"/>
        <w:rPr>
          <w:rFonts w:hint="eastAsia" w:ascii="宋体" w:hAnsi="宋体" w:cs="宋体"/>
          <w:szCs w:val="21"/>
        </w:rPr>
      </w:pPr>
      <w:r>
        <w:rPr>
          <w:rFonts w:hint="eastAsia" w:ascii="宋体" w:hAnsi="宋体" w:cs="宋体"/>
          <w:szCs w:val="21"/>
        </w:rPr>
        <w:t xml:space="preserve">5.采购需求：本项目采购用以扩大教学应用、社会服务和科研服务的受众范围，将智能石化工厂建设的成果共享共用。具体详见招标文件第四章</w:t>
      </w:r>
      <w:r/>
    </w:p>
    <w:p>
      <w:pPr>
        <w:pStyle w:val="840"/>
        <w:ind w:firstLine="420"/>
        <w:spacing w:line="360" w:lineRule="auto"/>
        <w:rPr>
          <w:rFonts w:hint="eastAsia" w:ascii="宋体" w:hAnsi="宋体" w:cs="宋体"/>
          <w:szCs w:val="21"/>
        </w:rPr>
      </w:pPr>
      <w:r>
        <w:rPr>
          <w:rFonts w:hint="eastAsia" w:ascii="宋体" w:hAnsi="宋体" w:cs="宋体"/>
          <w:szCs w:val="21"/>
        </w:rPr>
        <w:t xml:space="preserve">6.合同履行期限：2026年10月10日前完成所有内容</w:t>
      </w:r>
      <w:r/>
    </w:p>
    <w:p>
      <w:pPr>
        <w:pStyle w:val="840"/>
        <w:ind w:firstLine="420"/>
        <w:spacing w:line="360" w:lineRule="auto"/>
        <w:rPr>
          <w:rFonts w:ascii="宋体" w:hAnsi="宋体" w:cs="宋体"/>
          <w:color w:val="ff0000"/>
          <w:szCs w:val="21"/>
        </w:rPr>
      </w:pPr>
      <w:r/>
      <w:bookmarkStart w:id="5" w:name="_Toc38985264"/>
      <w:r>
        <w:rPr>
          <w:rFonts w:hint="eastAsia" w:ascii="宋体" w:hAnsi="宋体" w:cs="宋体"/>
          <w:szCs w:val="21"/>
        </w:rPr>
        <w:t xml:space="preserve">7.本项目</w:t>
      </w:r>
      <w:r>
        <w:rPr>
          <w:rFonts w:hint="eastAsia" w:ascii="宋体" w:hAnsi="宋体" w:cs="宋体"/>
          <w:szCs w:val="21"/>
          <w:u w:val="single"/>
        </w:rPr>
        <w:t xml:space="preserve">不接受</w:t>
      </w:r>
      <w:r>
        <w:rPr>
          <w:rFonts w:hint="eastAsia" w:ascii="宋体" w:hAnsi="宋体" w:cs="宋体"/>
          <w:szCs w:val="21"/>
        </w:rPr>
        <w:t xml:space="preserve">联合体投标。</w:t>
      </w:r>
      <w:r/>
    </w:p>
    <w:p>
      <w:pPr>
        <w:pStyle w:val="840"/>
        <w:ind w:firstLine="420"/>
        <w:spacing w:line="360" w:lineRule="auto"/>
        <w:rPr>
          <w:rFonts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不接受</w:t>
      </w:r>
      <w:r>
        <w:rPr>
          <w:rFonts w:hint="eastAsia" w:ascii="宋体" w:hAnsi="宋体" w:cs="宋体"/>
          <w:szCs w:val="21"/>
        </w:rPr>
        <w:t xml:space="preserve">进口产品投标。</w:t>
      </w:r>
      <w:r/>
    </w:p>
    <w:p>
      <w:pPr>
        <w:pStyle w:val="840"/>
        <w:spacing w:line="360" w:lineRule="auto"/>
        <w:tabs>
          <w:tab w:val="left" w:pos="266" w:leader="none"/>
        </w:tabs>
        <w:rPr>
          <w:rFonts w:ascii="宋体" w:hAnsi="宋体" w:cs="宋体"/>
          <w:b/>
          <w:bCs/>
          <w:szCs w:val="21"/>
        </w:rPr>
      </w:pPr>
      <w:r>
        <w:rPr>
          <w:rFonts w:hint="eastAsia" w:ascii="宋体" w:hAnsi="宋体" w:cs="宋体"/>
          <w:b/>
          <w:bCs/>
          <w:szCs w:val="21"/>
        </w:rPr>
        <w:t xml:space="preserve">二、申请人的资格要求：</w:t>
      </w:r>
      <w:bookmarkEnd w:id="5"/>
      <w:r/>
      <w:r/>
    </w:p>
    <w:p>
      <w:pPr>
        <w:pStyle w:val="840"/>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840"/>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pStyle w:val="840"/>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(税务、银行或社会保险基金管理部门出具的近一年任意一月缴纳职工社会保障资金的缴款凭证或缴款证明)（投标人依法享受缓缴、免缴的提供证明材料）</w:t>
      </w:r>
      <w:r/>
    </w:p>
    <w:p>
      <w:pPr>
        <w:pStyle w:val="840"/>
        <w:ind w:firstLine="420"/>
        <w:spacing w:line="360" w:lineRule="auto"/>
        <w:rPr>
          <w:rFonts w:ascii="宋体" w:hAnsi="宋体" w:cs="宋体"/>
          <w:b/>
          <w:bCs/>
          <w:i/>
          <w:iCs/>
          <w:color w:val="ff0000"/>
          <w:szCs w:val="21"/>
          <w:u w:val="single"/>
        </w:rPr>
      </w:pPr>
      <w:r>
        <w:rPr>
          <w:rFonts w:hint="eastAsia" w:ascii="宋体" w:hAnsi="宋体" w:cs="宋体"/>
          <w:i/>
          <w:iCs/>
          <w:szCs w:val="21"/>
          <w:u w:val="single"/>
        </w:rPr>
        <w:t xml:space="preserve">1.3 投标人近一年内任意一月依法纳税的缴款凭证</w:t>
      </w:r>
      <w:r>
        <w:rPr>
          <w:rFonts w:hint="eastAsia" w:ascii="宋体" w:hAnsi="宋体" w:cs="宋体"/>
          <w:b/>
          <w:bCs/>
          <w:i/>
          <w:iCs/>
          <w:szCs w:val="21"/>
          <w:u w:val="single"/>
        </w:rPr>
        <w:t xml:space="preserve">（投标人依法享受缓缴、免缴的提供证明材料）</w:t>
      </w:r>
      <w:r/>
    </w:p>
    <w:p>
      <w:pPr>
        <w:pStyle w:val="840"/>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pStyle w:val="840"/>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pStyle w:val="840"/>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840"/>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pStyle w:val="840"/>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bookmarkStart w:id="57" w:name="_GoBack"/>
      <w:r/>
      <w:bookmarkEnd w:id="57"/>
      <w:r/>
      <w:r/>
    </w:p>
    <w:p>
      <w:pPr>
        <w:pStyle w:val="840"/>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根据江苏省财政厅苏财购【2020】52号文规定，本项目专门面向中小企业采购。投标人投标时须提供《中小企业声明函》，《中小企业声明函》不符合要求或未提供的，投标文件无效。</w:t>
      </w:r>
      <w:r/>
    </w:p>
    <w:p>
      <w:pPr>
        <w:pStyle w:val="840"/>
        <w:ind w:firstLine="420"/>
        <w:spacing w:line="360" w:lineRule="auto"/>
        <w:rPr>
          <w:rFonts w:ascii="宋体" w:hAnsi="宋体" w:cs="宋体"/>
          <w:i/>
          <w:color w:val="333333"/>
          <w:sz w:val="22"/>
          <w:u w:val="single"/>
        </w:rPr>
      </w:pPr>
      <w:r>
        <w:rPr>
          <w:rFonts w:ascii="宋体" w:hAnsi="宋体" w:cs="宋体"/>
          <w:i/>
          <w:color w:val="333333"/>
          <w:sz w:val="22"/>
          <w:u w:val="single"/>
        </w:rPr>
        <w:t xml:space="preserve">本项目采购标的按中小企业划分标准所属行业区分为</w:t>
      </w:r>
      <w:r>
        <w:rPr>
          <w:rFonts w:hint="eastAsia" w:ascii="宋体" w:hAnsi="宋体" w:cs="宋体"/>
          <w:i/>
          <w:color w:val="333333"/>
          <w:sz w:val="22"/>
          <w:u w:val="single"/>
        </w:rPr>
        <w:t xml:space="preserve">：工业</w:t>
      </w:r>
      <w:r/>
    </w:p>
    <w:p>
      <w:pPr>
        <w:pStyle w:val="840"/>
        <w:ind w:firstLine="540"/>
        <w:spacing w:line="360" w:lineRule="auto"/>
        <w:rPr>
          <w:rFonts w:hint="eastAsia" w:ascii="宋体" w:hAnsi="宋体" w:cs="宋体"/>
          <w:szCs w:val="21"/>
        </w:rPr>
      </w:pPr>
      <w:r>
        <w:rPr>
          <w:rFonts w:hint="eastAsia" w:ascii="宋体" w:hAnsi="宋体" w:cs="宋体"/>
          <w:szCs w:val="21"/>
        </w:rPr>
        <w:t xml:space="preserve">3.本项目的特定资格要求：无</w:t>
      </w:r>
      <w:r/>
    </w:p>
    <w:p>
      <w:pPr>
        <w:pStyle w:val="840"/>
        <w:ind w:firstLine="540"/>
        <w:spacing w:line="360" w:lineRule="auto"/>
        <w:rPr>
          <w:rFonts w:hint="eastAsia" w:ascii="宋体" w:hAnsi="宋体" w:cs="宋体"/>
          <w:szCs w:val="21"/>
        </w:rPr>
      </w:pPr>
      <w:r>
        <w:rPr>
          <w:rFonts w:hint="eastAsia" w:ascii="宋体" w:hAnsi="宋体" w:cs="宋体"/>
          <w:szCs w:val="21"/>
        </w:rPr>
        <w:t xml:space="preserve">4、拒绝下述供应商参加本次采购活动：</w:t>
      </w:r>
      <w:r/>
    </w:p>
    <w:p>
      <w:pPr>
        <w:pStyle w:val="840"/>
        <w:ind w:firstLine="540"/>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（1）供应商单位负责人为同一人或者存在直接控股、管理关系的不同供应商，不得参加同一合同项下的采购活动。</w:t>
      </w:r>
      <w:r/>
    </w:p>
    <w:p>
      <w:pPr>
        <w:pStyle w:val="840"/>
        <w:ind w:firstLine="540"/>
        <w:spacing w:line="360" w:lineRule="auto"/>
        <w:rPr>
          <w:rFonts w:hint="eastAsia" w:ascii="宋体" w:hAnsi="宋体" w:cs="宋体"/>
          <w:szCs w:val="21"/>
        </w:rPr>
      </w:pPr>
      <w:r>
        <w:rPr>
          <w:rFonts w:hint="eastAsia" w:ascii="宋体" w:hAnsi="宋体" w:cs="宋体"/>
          <w:szCs w:val="21"/>
        </w:rPr>
        <w:t xml:space="preserve">（2）供应商被“信用中国”网站、“中国政府采购网"列入失信被执行人、重大税收违法案件当事人名单、政府采购严重违法失信行为记录名单。</w:t>
      </w:r>
      <w:r/>
    </w:p>
    <w:p>
      <w:pPr>
        <w:pStyle w:val="840"/>
        <w:spacing w:line="360" w:lineRule="auto"/>
        <w:tabs>
          <w:tab w:val="left" w:pos="266" w:leader="none"/>
        </w:tabs>
        <w:rPr>
          <w:rFonts w:ascii="宋体" w:hAnsi="宋体" w:cs="宋体"/>
          <w:b/>
          <w:bCs/>
          <w:szCs w:val="21"/>
        </w:rPr>
      </w:pPr>
      <w:r>
        <w:rPr>
          <w:rFonts w:hint="eastAsia" w:ascii="宋体" w:hAnsi="宋体" w:cs="宋体"/>
          <w:b/>
          <w:bCs/>
          <w:szCs w:val="21"/>
        </w:rPr>
        <w:t xml:space="preserve">三、获取招标文件</w:t>
      </w:r>
      <w:r/>
    </w:p>
    <w:p>
      <w:pPr>
        <w:pStyle w:val="840"/>
        <w:ind w:firstLine="540"/>
        <w:spacing w:line="360" w:lineRule="auto"/>
        <w:rPr>
          <w:rFonts w:ascii="宋体" w:hAnsi="宋体" w:cs="宋体"/>
          <w:szCs w:val="21"/>
        </w:rPr>
      </w:pPr>
      <w:r/>
      <w:bookmarkStart w:id="6" w:name="_Toc38985266"/>
      <w:r>
        <w:rPr>
          <w:rFonts w:hint="eastAsia" w:ascii="宋体" w:hAnsi="宋体" w:cs="宋体"/>
          <w:szCs w:val="21"/>
        </w:rPr>
        <w:t xml:space="preserve">1.时间：自招标文件公告发布之日起5个工作日。5个工作日后仍可下载招标文件，但不作为供应商权益受到损害的证明材料和依据。</w:t>
      </w:r>
      <w:r/>
    </w:p>
    <w:p>
      <w:pPr>
        <w:pStyle w:val="840"/>
        <w:ind w:firstLine="540"/>
        <w:spacing w:line="360" w:lineRule="auto"/>
        <w:rPr>
          <w:rFonts w:ascii="宋体" w:hAnsi="宋体" w:cs="宋体"/>
          <w:b/>
          <w:bCs/>
          <w:color w:val="000000"/>
          <w:szCs w:val="21"/>
        </w:rPr>
      </w:pPr>
      <w:r>
        <w:rPr>
          <w:rFonts w:hint="eastAsia" w:ascii="宋体" w:hAnsi="宋体" w:cs="宋体"/>
          <w:b/>
          <w:bCs/>
          <w:color w:val="000000"/>
          <w:szCs w:val="21"/>
        </w:rPr>
        <w:t xml:space="preserve">2.获取方式：本项目采用网上注册登记方式。</w:t>
      </w:r>
      <w:r/>
    </w:p>
    <w:p>
      <w:pPr>
        <w:pStyle w:val="840"/>
        <w:ind w:firstLine="540"/>
        <w:spacing w:line="360" w:lineRule="auto"/>
        <w:rPr>
          <w:rFonts w:ascii="宋体" w:hAnsi="宋体" w:cs="宋体"/>
          <w:b/>
          <w:bCs/>
          <w:color w:val="000000"/>
          <w:szCs w:val="21"/>
        </w:rPr>
      </w:pPr>
      <w:r>
        <w:rPr>
          <w:rFonts w:hint="eastAsia" w:ascii="宋体" w:hAnsi="宋体" w:cs="宋体"/>
          <w:b/>
          <w:bCs/>
          <w:color w:val="000000"/>
          <w:szCs w:val="21"/>
        </w:rPr>
        <w:t xml:space="preserve">3.潜在投标人访问政府采购管理交易系统（苏采云）的网络地址和方法：</w:t>
      </w:r>
      <w:r/>
    </w:p>
    <w:p>
      <w:pPr>
        <w:pStyle w:val="840"/>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40"/>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（2）“CA数字证书”的获取：供应商需办理CA锁，“苏采云”系统目前仅支持“苏采云”系统下的政务CA，省内各地区办理的“苏采云”系统下的政务CA全省通用。</w:t>
      </w:r>
      <w:r/>
    </w:p>
    <w:p>
      <w:pPr>
        <w:pStyle w:val="840"/>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（3）“CA数字证书”的办理材料以及供应商操作手册详见：</w:t>
      </w:r>
      <w:r/>
    </w:p>
    <w:p>
      <w:pPr>
        <w:pStyle w:val="840"/>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http：//zfcg.yangzhou.gov.cn/zfcg/xzzx/202309/4d7de1f7865f4a2894fc22bc452f94d8.shtml。</w:t>
      </w:r>
      <w:r/>
    </w:p>
    <w:p>
      <w:pPr>
        <w:pStyle w:val="840"/>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（4）潜在供应商访问“苏采云”系统的网络地址和方法：“苏采云”系统的网址：http：//jszfcg.jsczt.cn/。</w:t>
      </w:r>
      <w:r/>
    </w:p>
    <w:p>
      <w:pPr>
        <w:pStyle w:val="840"/>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（5）采购文件（后缀名为“.kedt”）、供应商操作手册及政府采购客户端工具也可通过“苏采云”系统--已报名项目--报名详情页面内相应链接进行下载。</w:t>
      </w:r>
      <w:r/>
    </w:p>
    <w:p>
      <w:pPr>
        <w:pStyle w:val="840"/>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（6）招标代理机构（采购代理机构）将数据电文形式的采购文件加载至“苏采云”系统，供潜在供应商下载或者查阅。     </w:t>
      </w:r>
      <w:r/>
    </w:p>
    <w:p>
      <w:pPr>
        <w:pStyle w:val="840"/>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（7）苏采云系统使用谷歌浏览器参与不见面开标。</w:t>
      </w:r>
      <w:r/>
    </w:p>
    <w:p>
      <w:pPr>
        <w:pStyle w:val="840"/>
        <w:ind w:firstLine="422"/>
        <w:spacing w:line="360" w:lineRule="auto"/>
        <w:tabs>
          <w:tab w:val="left" w:pos="266" w:leader="none"/>
        </w:tabs>
        <w:rPr>
          <w:rFonts w:ascii="宋体" w:hAnsi="宋体" w:cs="宋体"/>
          <w:b/>
          <w:bCs/>
          <w:szCs w:val="21"/>
        </w:rPr>
      </w:pPr>
      <w:r>
        <w:rPr>
          <w:rFonts w:hint="eastAsia" w:ascii="宋体" w:hAnsi="宋体" w:cs="宋体"/>
          <w:b/>
          <w:bCs/>
          <w:szCs w:val="21"/>
        </w:rPr>
        <w:t xml:space="preserve">四、提交投标文件截止时间、开标时间和地点</w:t>
      </w:r>
      <w:bookmarkEnd w:id="6"/>
      <w:r/>
      <w:r/>
    </w:p>
    <w:p>
      <w:pPr>
        <w:pStyle w:val="840"/>
        <w:ind w:firstLine="420"/>
        <w:spacing w:line="360" w:lineRule="auto"/>
        <w:rPr>
          <w:rFonts w:ascii="宋体" w:hAnsi="宋体" w:cs="宋体"/>
          <w:bCs/>
          <w:szCs w:val="21"/>
          <w:u w:val="single"/>
        </w:rPr>
      </w:pPr>
      <w:r>
        <w:rPr>
          <w:rFonts w:hint="eastAsia" w:ascii="宋体" w:hAnsi="宋体" w:cs="宋体"/>
          <w:szCs w:val="21"/>
        </w:rPr>
        <w:t xml:space="preserve">1.时间：</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日14点30分</w:t>
      </w:r>
      <w:r>
        <w:rPr>
          <w:rFonts w:hint="eastAsia" w:ascii="宋体" w:hAnsi="宋体" w:cs="宋体"/>
          <w:bCs/>
          <w:szCs w:val="21"/>
        </w:rPr>
        <w:t xml:space="preserve">（北京时间）</w:t>
      </w:r>
      <w:r/>
    </w:p>
    <w:p>
      <w:pPr>
        <w:pStyle w:val="840"/>
        <w:ind w:firstLine="420"/>
        <w:spacing w:line="360" w:lineRule="auto"/>
        <w:rPr>
          <w:rFonts w:ascii="宋体" w:hAnsi="宋体" w:cs="宋体"/>
          <w:bCs/>
          <w:color w:val="000000"/>
          <w:szCs w:val="21"/>
          <w:u w:val="single"/>
        </w:rPr>
      </w:pPr>
      <w:r>
        <w:rPr>
          <w:rFonts w:hint="eastAsia" w:ascii="宋体" w:hAnsi="宋体" w:cs="宋体"/>
          <w:color w:val="000000"/>
          <w:szCs w:val="21"/>
        </w:rPr>
        <w:t xml:space="preserve">2.开标地点：</w:t>
      </w:r>
      <w:r>
        <w:rPr>
          <w:rFonts w:hint="eastAsia" w:ascii="宋体" w:hAnsi="宋体" w:cs="宋体"/>
          <w:b/>
          <w:color w:val="000000"/>
          <w:szCs w:val="21"/>
        </w:rPr>
        <w:t xml:space="preserve">“苏采云”系统（网址：http://jszfcg.jsczt.cn/）“开标大厅”</w:t>
      </w:r>
      <w:r/>
    </w:p>
    <w:p>
      <w:pPr>
        <w:pStyle w:val="840"/>
        <w:spacing w:line="360" w:lineRule="auto"/>
        <w:tabs>
          <w:tab w:val="left" w:pos="266" w:leader="none"/>
        </w:tabs>
        <w:rPr>
          <w:rFonts w:ascii="宋体" w:hAnsi="宋体" w:cs="宋体"/>
          <w:b/>
          <w:bCs/>
          <w:szCs w:val="21"/>
        </w:rPr>
      </w:pPr>
      <w:r/>
      <w:bookmarkStart w:id="7" w:name="_Toc38985267"/>
      <w:r>
        <w:rPr>
          <w:rFonts w:hint="eastAsia" w:ascii="宋体" w:hAnsi="宋体" w:cs="宋体"/>
          <w:b/>
          <w:bCs/>
          <w:szCs w:val="21"/>
        </w:rPr>
        <w:t xml:space="preserve">五、公告期限</w:t>
      </w:r>
      <w:bookmarkEnd w:id="7"/>
      <w:r/>
      <w:r/>
    </w:p>
    <w:p>
      <w:pPr>
        <w:pStyle w:val="840"/>
        <w:ind w:firstLine="420"/>
        <w:spacing w:line="360" w:lineRule="auto"/>
        <w:rPr>
          <w:rFonts w:ascii="宋体" w:hAnsi="宋体" w:cs="宋体"/>
          <w:szCs w:val="21"/>
        </w:rPr>
      </w:pPr>
      <w:r/>
      <w:bookmarkStart w:id="8" w:name="_Toc38985268"/>
      <w:r>
        <w:rPr>
          <w:rFonts w:hint="eastAsia" w:ascii="宋体" w:hAnsi="宋体" w:cs="宋体"/>
          <w:szCs w:val="21"/>
        </w:rPr>
        <w:t xml:space="preserve">招标公告及招标文件公告期限为自本公告发布之日起5个工作日。</w:t>
      </w:r>
      <w:r/>
    </w:p>
    <w:p>
      <w:pPr>
        <w:pStyle w:val="840"/>
        <w:spacing w:line="360" w:lineRule="auto"/>
        <w:tabs>
          <w:tab w:val="left" w:pos="266" w:leader="none"/>
        </w:tabs>
        <w:rPr>
          <w:rFonts w:ascii="宋体" w:hAnsi="宋体" w:cs="宋体"/>
          <w:b/>
          <w:bCs/>
          <w:szCs w:val="21"/>
        </w:rPr>
      </w:pPr>
      <w:r>
        <w:rPr>
          <w:rFonts w:hint="eastAsia" w:ascii="宋体" w:hAnsi="宋体" w:cs="宋体"/>
          <w:b/>
          <w:bCs/>
          <w:szCs w:val="21"/>
        </w:rPr>
        <w:t xml:space="preserve">六、其他补充事宜</w:t>
      </w:r>
      <w:bookmarkEnd w:id="8"/>
      <w:r/>
      <w:r/>
    </w:p>
    <w:p>
      <w:pPr>
        <w:pStyle w:val="840"/>
        <w:ind w:firstLine="525"/>
        <w:spacing w:line="360" w:lineRule="auto"/>
        <w:rPr>
          <w:rFonts w:ascii="宋体" w:hAnsi="宋体" w:cs="宋体"/>
          <w:szCs w:val="21"/>
        </w:rPr>
      </w:pPr>
      <w:r>
        <w:rPr>
          <w:rFonts w:hint="eastAsia" w:ascii="宋体" w:hAnsi="宋体" w:cs="宋体"/>
          <w:szCs w:val="21"/>
        </w:rPr>
        <w:t xml:space="preserve">无</w:t>
      </w:r>
      <w:r/>
    </w:p>
    <w:p>
      <w:pPr>
        <w:pStyle w:val="840"/>
        <w:spacing w:line="360" w:lineRule="auto"/>
        <w:tabs>
          <w:tab w:val="left" w:pos="266" w:leader="none"/>
        </w:tabs>
        <w:rPr>
          <w:rFonts w:ascii="宋体" w:hAnsi="宋体" w:cs="宋体"/>
          <w:b/>
          <w:bCs/>
          <w:szCs w:val="21"/>
        </w:rPr>
      </w:pPr>
      <w:r/>
      <w:bookmarkStart w:id="9" w:name="_Toc38985269"/>
      <w:r>
        <w:rPr>
          <w:rFonts w:hint="eastAsia" w:ascii="宋体" w:hAnsi="宋体" w:cs="宋体"/>
          <w:b/>
          <w:bCs/>
          <w:szCs w:val="21"/>
        </w:rPr>
        <w:t xml:space="preserve">七、本次招标联系方式</w:t>
      </w:r>
      <w:bookmarkEnd w:id="9"/>
      <w:r/>
      <w:r/>
    </w:p>
    <w:p>
      <w:pPr>
        <w:pStyle w:val="840"/>
        <w:ind w:firstLine="420"/>
        <w:jc w:val="left"/>
        <w:spacing w:line="360" w:lineRule="auto"/>
        <w:widowControl/>
        <w:rPr>
          <w:rFonts w:ascii="宋体" w:hAnsi="宋体" w:cs="宋体"/>
          <w:szCs w:val="21"/>
        </w:rPr>
      </w:pPr>
      <w:r>
        <w:rPr>
          <w:rFonts w:hint="eastAsia" w:ascii="宋体" w:hAnsi="宋体" w:cs="宋体"/>
          <w:szCs w:val="21"/>
        </w:rPr>
        <w:t xml:space="preserve">1.采购人信息</w:t>
      </w:r>
      <w:r/>
    </w:p>
    <w:p>
      <w:pPr>
        <w:pStyle w:val="840"/>
        <w:ind w:firstLine="420"/>
        <w:jc w:val="left"/>
        <w:spacing w:line="360" w:lineRule="auto"/>
        <w:rPr>
          <w:rFonts w:ascii="宋体" w:hAnsi="宋体" w:cs="宋体"/>
          <w:szCs w:val="21"/>
        </w:rPr>
      </w:pPr>
      <w:r>
        <w:rPr>
          <w:rFonts w:hint="eastAsia" w:ascii="宋体" w:hAnsi="宋体" w:cs="宋体"/>
          <w:szCs w:val="21"/>
        </w:rPr>
        <w:t xml:space="preserve">名 称：扬州工业职业技术学院</w:t>
      </w:r>
      <w:r/>
    </w:p>
    <w:p>
      <w:pPr>
        <w:pStyle w:val="840"/>
        <w:ind w:firstLine="420"/>
        <w:jc w:val="left"/>
        <w:spacing w:line="360" w:lineRule="auto"/>
        <w:rPr>
          <w:rFonts w:ascii="宋体" w:hAnsi="宋体" w:cs="宋体"/>
          <w:szCs w:val="21"/>
        </w:rPr>
      </w:pPr>
      <w:r>
        <w:rPr>
          <w:rFonts w:hint="eastAsia" w:ascii="宋体" w:hAnsi="宋体" w:cs="宋体"/>
          <w:szCs w:val="21"/>
        </w:rPr>
        <w:t xml:space="preserve">地 址：江苏省扬州市邗江区华扬西路199号</w:t>
      </w:r>
      <w:r/>
    </w:p>
    <w:p>
      <w:pPr>
        <w:pStyle w:val="840"/>
        <w:ind w:firstLine="420"/>
        <w:jc w:val="left"/>
        <w:spacing w:line="360" w:lineRule="auto"/>
        <w:rPr>
          <w:rFonts w:ascii="宋体" w:hAnsi="宋体" w:cs="宋体"/>
          <w:szCs w:val="21"/>
        </w:rPr>
      </w:pPr>
      <w:r/>
      <w:bookmarkStart w:id="10" w:name="_Toc28359086"/>
      <w:r/>
      <w:bookmarkStart w:id="11" w:name="_Toc28359009"/>
      <w:r>
        <w:rPr>
          <w:rFonts w:hint="eastAsia" w:ascii="宋体" w:hAnsi="宋体" w:cs="宋体"/>
          <w:szCs w:val="21"/>
        </w:rPr>
        <w:t xml:space="preserve">联系人：黄德奇</w:t>
      </w:r>
      <w:r/>
    </w:p>
    <w:p>
      <w:pPr>
        <w:pStyle w:val="840"/>
        <w:ind w:firstLine="420"/>
        <w:jc w:val="left"/>
        <w:spacing w:line="360" w:lineRule="auto"/>
        <w:rPr>
          <w:rFonts w:ascii="宋体" w:hAnsi="宋体" w:cs="宋体"/>
          <w:szCs w:val="21"/>
        </w:rPr>
      </w:pPr>
      <w:r>
        <w:rPr>
          <w:rFonts w:hint="eastAsia" w:ascii="宋体" w:hAnsi="宋体" w:cs="宋体"/>
          <w:szCs w:val="21"/>
        </w:rPr>
        <w:t xml:space="preserve">联系方式：15150818810</w:t>
      </w:r>
      <w:r/>
    </w:p>
    <w:p>
      <w:pPr>
        <w:pStyle w:val="840"/>
        <w:ind w:firstLine="420"/>
        <w:jc w:val="left"/>
        <w:spacing w:line="360" w:lineRule="auto"/>
        <w:rPr>
          <w:rFonts w:ascii="宋体" w:hAnsi="宋体" w:cs="宋体"/>
          <w:szCs w:val="21"/>
        </w:rPr>
      </w:pPr>
      <w:r>
        <w:rPr>
          <w:rFonts w:hint="eastAsia" w:ascii="宋体" w:hAnsi="宋体" w:cs="宋体"/>
          <w:szCs w:val="21"/>
        </w:rPr>
        <w:t xml:space="preserve">2.代理机构信息</w:t>
      </w:r>
      <w:bookmarkEnd w:id="10"/>
      <w:r/>
      <w:bookmarkEnd w:id="11"/>
      <w:r/>
      <w:r/>
    </w:p>
    <w:p>
      <w:pPr>
        <w:pStyle w:val="840"/>
        <w:ind w:firstLine="420"/>
        <w:jc w:val="left"/>
        <w:spacing w:line="360" w:lineRule="auto"/>
        <w:rPr>
          <w:rFonts w:ascii="宋体" w:hAnsi="宋体" w:cs="宋体"/>
          <w:szCs w:val="21"/>
        </w:rPr>
      </w:pPr>
      <w:r/>
      <w:bookmarkStart w:id="12" w:name="_Toc28359087"/>
      <w:r/>
      <w:bookmarkStart w:id="13" w:name="_Toc28359010"/>
      <w:r>
        <w:rPr>
          <w:rFonts w:hint="eastAsia" w:ascii="宋体" w:hAnsi="宋体" w:cs="宋体"/>
          <w:szCs w:val="21"/>
        </w:rPr>
        <w:t xml:space="preserve">名 称：江苏唯诚建设咨询有限公司</w:t>
      </w:r>
      <w:r/>
    </w:p>
    <w:p>
      <w:pPr>
        <w:pStyle w:val="840"/>
        <w:ind w:firstLine="420"/>
        <w:jc w:val="left"/>
        <w:spacing w:line="360" w:lineRule="auto"/>
        <w:rPr>
          <w:rFonts w:ascii="宋体" w:hAnsi="宋体" w:cs="宋体"/>
          <w:szCs w:val="21"/>
        </w:rPr>
      </w:pPr>
      <w:r>
        <w:rPr>
          <w:rFonts w:hint="eastAsia" w:ascii="宋体" w:hAnsi="宋体" w:cs="宋体"/>
          <w:szCs w:val="21"/>
        </w:rPr>
        <w:t xml:space="preserve">地　址：扬州市维扬路106-1#扬州商城国际大厦19F</w:t>
      </w:r>
      <w:r/>
    </w:p>
    <w:p>
      <w:pPr>
        <w:pStyle w:val="840"/>
        <w:ind w:firstLine="420"/>
        <w:jc w:val="left"/>
        <w:spacing w:line="360" w:lineRule="auto"/>
        <w:rPr>
          <w:rFonts w:ascii="宋体" w:hAnsi="宋体" w:cs="宋体"/>
          <w:szCs w:val="21"/>
        </w:rPr>
      </w:pPr>
      <w:r>
        <w:rPr>
          <w:rFonts w:hint="eastAsia" w:ascii="宋体" w:hAnsi="宋体" w:cs="宋体"/>
          <w:szCs w:val="21"/>
        </w:rPr>
        <w:t xml:space="preserve">联系人：王云</w:t>
      </w:r>
      <w:r/>
    </w:p>
    <w:p>
      <w:pPr>
        <w:pStyle w:val="840"/>
        <w:ind w:firstLine="420"/>
        <w:jc w:val="left"/>
        <w:spacing w:line="360" w:lineRule="auto"/>
        <w:rPr>
          <w:rFonts w:ascii="宋体" w:hAnsi="宋体" w:cs="宋体"/>
          <w:szCs w:val="21"/>
        </w:rPr>
      </w:pPr>
      <w:r>
        <w:rPr>
          <w:rFonts w:hint="eastAsia" w:ascii="宋体" w:hAnsi="宋体" w:cs="宋体"/>
          <w:szCs w:val="21"/>
        </w:rPr>
        <w:t xml:space="preserve">联系方式：0514-87880638-8010</w:t>
      </w:r>
      <w:r/>
    </w:p>
    <w:p>
      <w:pPr>
        <w:pStyle w:val="840"/>
        <w:numPr>
          <w:ilvl w:val="0"/>
          <w:numId w:val="6"/>
        </w:numPr>
        <w:spacing w:line="360" w:lineRule="auto"/>
        <w:tabs>
          <w:tab w:val="left" w:pos="266" w:leader="none"/>
        </w:tabs>
        <w:rPr>
          <w:rFonts w:ascii="宋体" w:hAnsi="宋体" w:cs="宋体"/>
          <w:b/>
          <w:bCs/>
          <w:szCs w:val="21"/>
        </w:rPr>
      </w:pPr>
      <w:r>
        <w:rPr>
          <w:rFonts w:hint="eastAsia" w:ascii="宋体" w:hAnsi="宋体" w:cs="宋体"/>
          <w:b/>
          <w:bCs/>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40"/>
        <w:spacing w:line="360" w:lineRule="auto"/>
        <w:tabs>
          <w:tab w:val="left" w:pos="266" w:leader="none"/>
        </w:tabs>
        <w:rPr>
          <w:rFonts w:ascii="宋体" w:hAnsi="宋体" w:cs="宋体"/>
          <w:b/>
          <w:bCs/>
          <w:szCs w:val="21"/>
        </w:rPr>
      </w:pPr>
      <w:r>
        <w:rPr>
          <w:rFonts w:hint="eastAsia" w:ascii="宋体" w:hAnsi="宋体" w:cs="宋体"/>
          <w:b/>
          <w:bCs/>
          <w:szCs w:val="21"/>
        </w:rPr>
        <w:t xml:space="preserve">中标供应商可凭政府采购合同办理融资贷款，详见江苏政府采购网“政采贷”专栏。”</w:t>
      </w:r>
      <w:bookmarkEnd w:id="12"/>
      <w:r/>
      <w:bookmarkEnd w:id="13"/>
      <w:r/>
      <w:r/>
    </w:p>
    <w:p>
      <w:pPr>
        <w:pStyle w:val="840"/>
        <w:spacing w:line="360" w:lineRule="auto"/>
        <w:rPr>
          <w:rFonts w:ascii="宋体" w:hAnsi="宋体" w:cs="宋体"/>
          <w:b/>
          <w:bCs/>
          <w:szCs w:val="21"/>
        </w:rPr>
      </w:pPr>
      <w:r>
        <w:rPr>
          <w:rFonts w:hint="eastAsia" w:ascii="宋体" w:hAnsi="宋体" w:cs="宋体"/>
          <w:b/>
          <w:bCs/>
          <w:szCs w:val="21"/>
        </w:rPr>
        <w:t xml:space="preserve">九、其他</w:t>
      </w:r>
      <w:r/>
    </w:p>
    <w:p>
      <w:pPr>
        <w:pStyle w:val="840"/>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840"/>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840"/>
        <w:ind w:firstLine="422"/>
        <w:spacing w:line="360" w:lineRule="auto"/>
        <w:rPr>
          <w:rFonts w:ascii="宋体" w:hAnsi="宋体" w:cs="宋体"/>
          <w:b/>
          <w:bCs/>
          <w:szCs w:val="21"/>
        </w:rPr>
      </w:pPr>
      <w:r>
        <w:rPr>
          <w:rFonts w:hint="eastAsia" w:ascii="宋体" w:hAnsi="宋体" w:cs="宋体"/>
          <w:b/>
          <w:szCs w:val="21"/>
        </w:rPr>
        <w:t xml:space="preserve">3.潜在投标人对招标文件项目需求部分的询问、质疑请向采购人提出，由采购人负责答复。</w:t>
      </w:r>
      <w:r>
        <w:rPr>
          <w:rFonts w:hint="eastAsia" w:ascii="宋体" w:hAnsi="宋体" w:cs="宋体"/>
          <w:b/>
          <w:bCs/>
          <w:szCs w:val="21"/>
        </w:rPr>
        <w:t xml:space="preserve">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0"/>
        <w:ind w:firstLine="422"/>
        <w:spacing w:line="360" w:lineRule="auto"/>
        <w:rPr>
          <w:rFonts w:ascii="宋体" w:hAnsi="宋体" w:cs="宋体"/>
          <w:b/>
          <w:bCs/>
          <w:szCs w:val="21"/>
        </w:rPr>
      </w:pPr>
      <w:r>
        <w:rPr>
          <w:rFonts w:hint="eastAsia" w:ascii="宋体" w:hAnsi="宋体" w:cs="宋体"/>
          <w:b/>
          <w:bCs/>
          <w:szCs w:val="21"/>
        </w:rPr>
        <w:t xml:space="preserve">4.供应商对于投标产品的包装应按照“财办库〔2020〕123号《关于印发《商品包装政府采购需求标准（试行）》、《快递包装政府采购需求标准（试行）》的通知》”执行。</w:t>
      </w:r>
      <w:r/>
    </w:p>
    <w:p>
      <w:pPr>
        <w:pStyle w:val="840"/>
        <w:ind w:firstLine="420"/>
        <w:spacing w:line="360" w:lineRule="auto"/>
        <w:rPr>
          <w:rFonts w:ascii="宋体" w:hAnsi="宋体" w:cs="宋体"/>
          <w:bCs/>
          <w:color w:val="ff0000"/>
          <w:szCs w:val="21"/>
        </w:rPr>
      </w:pPr>
      <w:r>
        <w:rPr>
          <w:rFonts w:hint="eastAsia" w:ascii="宋体" w:hAnsi="宋体" w:cs="宋体"/>
          <w:bCs/>
          <w:szCs w:val="21"/>
        </w:rPr>
        <w:t xml:space="preserve">5.</w:t>
      </w:r>
      <w:r>
        <w:rPr>
          <w:rFonts w:hint="eastAsia" w:ascii="宋体" w:hAnsi="宋体" w:cs="宋体"/>
          <w:szCs w:val="21"/>
        </w:rPr>
        <w:t xml:space="preserve">本次招标</w:t>
      </w:r>
      <w:r>
        <w:rPr>
          <w:rFonts w:hint="eastAsia" w:ascii="宋体" w:hAnsi="宋体" w:cs="宋体"/>
          <w:color w:val="000000"/>
          <w:szCs w:val="21"/>
        </w:rPr>
        <w:t xml:space="preserve">不收取</w:t>
      </w:r>
      <w:r>
        <w:rPr>
          <w:rFonts w:hint="eastAsia" w:ascii="宋体" w:hAnsi="宋体" w:cs="宋体"/>
          <w:szCs w:val="21"/>
        </w:rPr>
        <w:t xml:space="preserve">投标保证金。</w:t>
      </w:r>
      <w:r/>
    </w:p>
    <w:p>
      <w:pPr>
        <w:pStyle w:val="840"/>
        <w:ind w:firstLine="420"/>
        <w:spacing w:line="360" w:lineRule="auto"/>
        <w:rPr>
          <w:rFonts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有关本次招标的事项若存在变动或修改，敬请及时关注“江苏省政府采购网”、“中国政府采购网”发布的信息。</w:t>
      </w:r>
      <w:r/>
    </w:p>
    <w:p>
      <w:pPr>
        <w:pStyle w:val="840"/>
        <w:ind w:firstLine="422"/>
        <w:spacing w:line="360" w:lineRule="auto"/>
        <w:rPr>
          <w:rFonts w:ascii="宋体" w:hAnsi="宋体" w:cs="宋体"/>
          <w:szCs w:val="21"/>
        </w:rPr>
      </w:pPr>
      <w:r>
        <w:rPr>
          <w:rFonts w:hint="eastAsia" w:ascii="宋体" w:hAnsi="宋体" w:cs="宋体"/>
          <w:b/>
          <w:i/>
          <w:iCs/>
          <w:szCs w:val="21"/>
          <w:u w:val="single"/>
        </w:rPr>
        <w:t xml:space="preserve">7.本项目招标文件中所有斜体下划线部分为实质性条款，如不满足，则为无效投标。</w:t>
      </w:r>
      <w:r/>
    </w:p>
    <w:p>
      <w:pPr>
        <w:pStyle w:val="1014"/>
        <w:jc w:val="center"/>
        <w:rPr>
          <w:rFonts w:ascii="宋体" w:hAnsi="宋体"/>
          <w:sz w:val="36"/>
        </w:rPr>
      </w:pPr>
      <w:r>
        <w:rPr>
          <w:rFonts w:ascii="宋体" w:hAnsi="宋体"/>
          <w:sz w:val="36"/>
        </w:rPr>
        <w:br w:type="page" w:clear="all"/>
      </w:r>
      <w:r>
        <w:rPr>
          <w:rFonts w:ascii="宋体" w:hAnsi="宋体"/>
          <w:sz w:val="36"/>
        </w:rPr>
        <w:t xml:space="preserve">第二章 投标人须知</w:t>
      </w:r>
      <w:bookmarkEnd w:id="3"/>
      <w:r/>
      <w:r/>
    </w:p>
    <w:p>
      <w:pPr>
        <w:pStyle w:val="840"/>
        <w:ind w:firstLine="422"/>
        <w:spacing w:line="360" w:lineRule="auto"/>
        <w:rPr>
          <w:rFonts w:ascii="宋体" w:hAnsi="宋体" w:cs="宋体"/>
          <w:b/>
          <w:szCs w:val="21"/>
        </w:rPr>
      </w:pPr>
      <w:r/>
      <w:bookmarkStart w:id="14" w:name="_Toc497133092"/>
      <w:r>
        <w:rPr>
          <w:rFonts w:hint="eastAsia" w:ascii="宋体" w:hAnsi="宋体" w:cs="宋体"/>
          <w:b/>
          <w:szCs w:val="21"/>
        </w:rPr>
        <w:t xml:space="preserve">1、招标方式</w:t>
      </w:r>
      <w:r/>
    </w:p>
    <w:p>
      <w:pPr>
        <w:pStyle w:val="840"/>
        <w:ind w:firstLine="420"/>
        <w:spacing w:line="360" w:lineRule="auto"/>
        <w:rPr>
          <w:rFonts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bCs/>
          <w:szCs w:val="21"/>
          <w:lang w:eastAsia="zh-CN"/>
        </w:rPr>
        <w:t xml:space="preserve">JSZC-320000-JSWC-G2026-0022</w:t>
      </w:r>
      <w:r>
        <w:rPr>
          <w:rFonts w:hint="eastAsia" w:ascii="宋体" w:hAnsi="宋体" w:cs="宋体"/>
          <w:bCs/>
          <w:szCs w:val="21"/>
        </w:rPr>
        <w:t xml:space="preserve">号项目。</w:t>
      </w:r>
      <w:r/>
    </w:p>
    <w:p>
      <w:pPr>
        <w:pStyle w:val="840"/>
        <w:ind w:firstLine="422"/>
        <w:spacing w:line="360" w:lineRule="auto"/>
        <w:rPr>
          <w:rFonts w:ascii="宋体" w:hAnsi="宋体" w:cs="宋体"/>
          <w:b/>
          <w:szCs w:val="21"/>
        </w:rPr>
      </w:pPr>
      <w:r>
        <w:rPr>
          <w:rFonts w:hint="eastAsia" w:ascii="宋体" w:hAnsi="宋体" w:cs="宋体"/>
          <w:b/>
          <w:szCs w:val="21"/>
        </w:rPr>
        <w:t xml:space="preserve">2、投标人</w:t>
      </w:r>
      <w:r/>
    </w:p>
    <w:p>
      <w:pPr>
        <w:pStyle w:val="840"/>
        <w:ind w:firstLine="420"/>
        <w:spacing w:line="360" w:lineRule="auto"/>
        <w:rPr>
          <w:rFonts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pStyle w:val="840"/>
        <w:ind w:firstLine="420"/>
        <w:spacing w:line="360" w:lineRule="auto"/>
        <w:rPr>
          <w:rFonts w:ascii="宋体" w:hAnsi="宋体" w:cs="宋体"/>
          <w:bCs/>
          <w:szCs w:val="21"/>
        </w:rPr>
      </w:pPr>
      <w:r>
        <w:rPr>
          <w:rFonts w:hint="eastAsia" w:ascii="宋体" w:hAnsi="宋体" w:cs="宋体"/>
          <w:bCs/>
          <w:szCs w:val="21"/>
        </w:rPr>
        <w:t xml:space="preserve">2.2合格的投标人</w:t>
      </w:r>
      <w:r/>
    </w:p>
    <w:p>
      <w:pPr>
        <w:pStyle w:val="840"/>
        <w:ind w:firstLine="420"/>
        <w:spacing w:line="360" w:lineRule="auto"/>
        <w:rPr>
          <w:rFonts w:ascii="宋体" w:hAnsi="宋体" w:cs="宋体"/>
          <w:bCs/>
          <w:szCs w:val="21"/>
        </w:rPr>
      </w:pPr>
      <w:r>
        <w:rPr>
          <w:rFonts w:hint="eastAsia" w:ascii="宋体" w:hAnsi="宋体" w:cs="宋体"/>
          <w:bCs/>
          <w:szCs w:val="21"/>
        </w:rPr>
        <w:t xml:space="preserve">2.2.1 满足招标公告中供应商的资格条件要求的规定。</w:t>
      </w:r>
      <w:r/>
    </w:p>
    <w:p>
      <w:pPr>
        <w:pStyle w:val="840"/>
        <w:ind w:firstLine="420"/>
        <w:spacing w:line="360" w:lineRule="auto"/>
        <w:rPr>
          <w:rFonts w:ascii="宋体" w:hAnsi="宋体" w:cs="宋体"/>
          <w:bCs/>
          <w:szCs w:val="21"/>
        </w:rPr>
      </w:pPr>
      <w:r>
        <w:rPr>
          <w:rFonts w:hint="eastAsia" w:ascii="宋体" w:hAnsi="宋体" w:cs="宋体"/>
          <w:bCs/>
          <w:szCs w:val="21"/>
        </w:rPr>
        <w:t xml:space="preserve">2.2.2 满足本文件实质性条款的规定。</w:t>
      </w:r>
      <w:r/>
    </w:p>
    <w:p>
      <w:pPr>
        <w:pStyle w:val="840"/>
        <w:ind w:firstLine="422"/>
        <w:spacing w:line="360" w:lineRule="auto"/>
        <w:rPr>
          <w:rFonts w:ascii="宋体" w:hAnsi="宋体" w:cs="宋体"/>
          <w:b/>
          <w:szCs w:val="21"/>
        </w:rPr>
      </w:pPr>
      <w:r>
        <w:rPr>
          <w:rFonts w:hint="eastAsia" w:ascii="宋体" w:hAnsi="宋体" w:cs="宋体"/>
          <w:b/>
          <w:szCs w:val="21"/>
        </w:rPr>
        <w:t xml:space="preserve">3、适用法律</w:t>
      </w:r>
      <w:r/>
    </w:p>
    <w:p>
      <w:pPr>
        <w:pStyle w:val="840"/>
        <w:ind w:firstLine="420"/>
        <w:spacing w:line="360" w:lineRule="auto"/>
        <w:rPr>
          <w:rFonts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pStyle w:val="840"/>
        <w:ind w:firstLine="422"/>
        <w:spacing w:line="360" w:lineRule="auto"/>
        <w:rPr>
          <w:rFonts w:ascii="宋体" w:hAnsi="宋体" w:cs="宋体"/>
          <w:b/>
          <w:szCs w:val="21"/>
        </w:rPr>
      </w:pPr>
      <w:r>
        <w:rPr>
          <w:rFonts w:hint="eastAsia" w:ascii="宋体" w:hAnsi="宋体" w:cs="宋体"/>
          <w:b/>
          <w:szCs w:val="21"/>
        </w:rPr>
        <w:t xml:space="preserve">4、投标费用</w:t>
      </w:r>
      <w:r/>
    </w:p>
    <w:p>
      <w:pPr>
        <w:pStyle w:val="840"/>
        <w:ind w:firstLine="420"/>
        <w:spacing w:line="360" w:lineRule="auto"/>
        <w:rPr>
          <w:rFonts w:ascii="宋体" w:hAnsi="宋体" w:cs="宋体"/>
        </w:rPr>
      </w:pPr>
      <w:r>
        <w:rPr>
          <w:rFonts w:hint="eastAsia" w:ascii="宋体" w:hAnsi="宋体" w:cs="宋体"/>
        </w:rPr>
        <w:t xml:space="preserve">4.1 投标人应自行承担所有与参加投标有关的费用，无论投标过程中的做法和结果如 何，代理机构在任何情况下均无义务和责任承担这些费用。 </w:t>
      </w:r>
      <w:r/>
    </w:p>
    <w:p>
      <w:pPr>
        <w:pStyle w:val="840"/>
        <w:ind w:firstLine="420"/>
        <w:spacing w:line="360" w:lineRule="auto"/>
        <w:rPr>
          <w:rFonts w:ascii="宋体" w:hAnsi="宋体" w:cs="宋体"/>
        </w:rPr>
      </w:pPr>
      <w:r>
        <w:rPr>
          <w:rFonts w:hint="eastAsia" w:ascii="宋体" w:hAnsi="宋体" w:cs="宋体"/>
        </w:rPr>
        <w:t xml:space="preserve">4.2本次采购由中标单位在领取中标通知书前按照发改价格【2011】—534号货物类收费标准的35%向代理机构支付，不足2000元的按2000元收取。</w:t>
      </w:r>
      <w:r/>
    </w:p>
    <w:p>
      <w:pPr>
        <w:pStyle w:val="840"/>
        <w:ind w:firstLine="420"/>
        <w:spacing w:line="360" w:lineRule="auto"/>
        <w:rPr>
          <w:rFonts w:ascii="宋体" w:hAnsi="宋体" w:cs="宋体"/>
        </w:rPr>
      </w:pPr>
      <w:r>
        <w:rPr>
          <w:rFonts w:hint="eastAsia" w:ascii="宋体" w:hAnsi="宋体" w:cs="宋体"/>
        </w:rPr>
        <w:t xml:space="preserve">（1）代理服务费以人民币支付； </w:t>
      </w:r>
      <w:r/>
    </w:p>
    <w:p>
      <w:pPr>
        <w:pStyle w:val="840"/>
        <w:ind w:firstLine="420"/>
        <w:spacing w:line="360" w:lineRule="auto"/>
        <w:rPr>
          <w:rFonts w:ascii="宋体" w:hAnsi="宋体" w:cs="宋体"/>
        </w:rPr>
      </w:pPr>
      <w:r>
        <w:rPr>
          <w:rFonts w:hint="eastAsia" w:ascii="宋体" w:hAnsi="宋体" w:cs="宋体"/>
        </w:rPr>
        <w:t xml:space="preserve">（2）代理服务费一次性以电汇、转账等非现金形式支付； </w:t>
      </w:r>
      <w:r/>
    </w:p>
    <w:p>
      <w:pPr>
        <w:pStyle w:val="840"/>
        <w:ind w:firstLine="420"/>
        <w:spacing w:line="360" w:lineRule="auto"/>
        <w:rPr>
          <w:rFonts w:ascii="宋体" w:hAnsi="宋体" w:cs="宋体"/>
        </w:rPr>
      </w:pPr>
      <w:r>
        <w:rPr>
          <w:rFonts w:hint="eastAsia" w:ascii="宋体" w:hAnsi="宋体" w:cs="宋体"/>
        </w:rPr>
        <w:t xml:space="preserve">（3）招标代理服务费在投标报价中单列，包含在投标总价中，由中标单位支付给代理机构。 </w:t>
      </w:r>
      <w:r/>
    </w:p>
    <w:p>
      <w:pPr>
        <w:pStyle w:val="840"/>
        <w:ind w:firstLine="420"/>
        <w:spacing w:line="360" w:lineRule="auto"/>
        <w:rPr>
          <w:rFonts w:ascii="宋体" w:hAnsi="宋体" w:cs="宋体"/>
        </w:rPr>
      </w:pPr>
      <w:r>
        <w:rPr>
          <w:rFonts w:hint="eastAsia" w:ascii="宋体" w:hAnsi="宋体" w:cs="宋体"/>
        </w:rPr>
        <w:t xml:space="preserve">代理服务费开户银行：江苏银行扬州广陵支行</w:t>
      </w:r>
      <w:r/>
    </w:p>
    <w:p>
      <w:pPr>
        <w:pStyle w:val="840"/>
        <w:ind w:firstLine="420"/>
        <w:spacing w:line="360" w:lineRule="auto"/>
        <w:rPr>
          <w:rFonts w:ascii="宋体" w:hAnsi="宋体" w:cs="宋体"/>
        </w:rPr>
      </w:pPr>
      <w:r>
        <w:rPr>
          <w:rFonts w:hint="eastAsia" w:ascii="宋体" w:hAnsi="宋体" w:cs="宋体"/>
        </w:rPr>
        <w:t xml:space="preserve">开户名称：江苏唯诚建设咨询有限公司</w:t>
      </w:r>
      <w:r/>
    </w:p>
    <w:p>
      <w:r>
        <w:rPr>
          <w:rFonts w:hint="eastAsia"/>
        </w:rPr>
        <w:t xml:space="preserve">开户帐号：05000140900000685</w:t>
      </w:r>
      <w:r/>
    </w:p>
    <w:p>
      <w:r>
        <w:rPr>
          <w:rFonts w:hint="eastAsia"/>
        </w:rPr>
        <w:t xml:space="preserve">4.3专家评审费按《扬州市财政局关于进一步规范扬州市政府采购专家评审费标准的通知》（扬财购〔2020〕40号）执行，由采购人支付。</w:t>
      </w:r>
      <w:r/>
    </w:p>
    <w:p>
      <w:pPr>
        <w:pStyle w:val="840"/>
        <w:ind w:firstLine="422"/>
        <w:spacing w:line="360" w:lineRule="auto"/>
        <w:rPr>
          <w:rFonts w:ascii="宋体" w:hAnsi="宋体" w:cs="宋体"/>
          <w:b/>
          <w:szCs w:val="21"/>
        </w:rPr>
      </w:pPr>
      <w:r>
        <w:rPr>
          <w:rFonts w:hint="eastAsia" w:ascii="宋体" w:hAnsi="宋体" w:cs="宋体"/>
          <w:b/>
          <w:szCs w:val="21"/>
        </w:rPr>
        <w:t xml:space="preserve">5、招标文件的约束力</w:t>
      </w:r>
      <w:r/>
    </w:p>
    <w:p>
      <w:pPr>
        <w:pStyle w:val="840"/>
        <w:ind w:firstLine="420"/>
        <w:spacing w:line="360" w:lineRule="auto"/>
        <w:rPr>
          <w:rFonts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pStyle w:val="840"/>
        <w:ind w:firstLine="422"/>
        <w:spacing w:line="360" w:lineRule="auto"/>
        <w:rPr>
          <w:rFonts w:ascii="宋体" w:hAnsi="宋体" w:cs="宋体"/>
          <w:b/>
          <w:szCs w:val="21"/>
        </w:rPr>
      </w:pPr>
      <w:r>
        <w:rPr>
          <w:rFonts w:hint="eastAsia" w:ascii="宋体" w:hAnsi="宋体" w:cs="宋体"/>
          <w:b/>
          <w:szCs w:val="21"/>
        </w:rPr>
        <w:t xml:space="preserve">6、招标文件构成</w:t>
      </w:r>
      <w:r/>
    </w:p>
    <w:p>
      <w:pPr>
        <w:pStyle w:val="840"/>
        <w:ind w:firstLine="420"/>
        <w:spacing w:line="360" w:lineRule="auto"/>
        <w:rPr>
          <w:rFonts w:ascii="宋体" w:hAnsi="宋体" w:cs="宋体"/>
          <w:bCs/>
          <w:szCs w:val="21"/>
        </w:rPr>
      </w:pPr>
      <w:r>
        <w:rPr>
          <w:rFonts w:hint="eastAsia" w:ascii="宋体" w:hAnsi="宋体" w:cs="宋体"/>
          <w:bCs/>
          <w:szCs w:val="21"/>
        </w:rPr>
        <w:t xml:space="preserve">6.1 招标文件有以下部分组成：</w:t>
      </w:r>
      <w:r/>
    </w:p>
    <w:p>
      <w:pPr>
        <w:pStyle w:val="840"/>
        <w:ind w:firstLine="420"/>
        <w:spacing w:line="360" w:lineRule="auto"/>
        <w:rPr>
          <w:rFonts w:ascii="宋体" w:hAnsi="宋体" w:cs="宋体"/>
          <w:bCs/>
          <w:szCs w:val="21"/>
        </w:rPr>
      </w:pPr>
      <w:r>
        <w:rPr>
          <w:rFonts w:hint="eastAsia" w:ascii="宋体" w:hAnsi="宋体" w:cs="宋体"/>
          <w:bCs/>
          <w:szCs w:val="21"/>
        </w:rPr>
        <w:t xml:space="preserve">（1）招标公告</w:t>
      </w:r>
      <w:r/>
    </w:p>
    <w:p>
      <w:pPr>
        <w:pStyle w:val="840"/>
        <w:ind w:firstLine="420"/>
        <w:spacing w:line="360" w:lineRule="auto"/>
        <w:rPr>
          <w:rFonts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pStyle w:val="840"/>
        <w:ind w:firstLine="420"/>
        <w:spacing w:line="360" w:lineRule="auto"/>
        <w:rPr>
          <w:rFonts w:ascii="宋体" w:hAnsi="宋体" w:cs="宋体"/>
          <w:bCs/>
          <w:szCs w:val="21"/>
        </w:rPr>
      </w:pPr>
      <w:r>
        <w:rPr>
          <w:rFonts w:hint="eastAsia" w:ascii="宋体" w:hAnsi="宋体" w:cs="宋体"/>
          <w:bCs/>
          <w:szCs w:val="21"/>
        </w:rPr>
        <w:t xml:space="preserve">（3）合同条款及格式</w:t>
      </w:r>
      <w:r/>
    </w:p>
    <w:p>
      <w:pPr>
        <w:pStyle w:val="840"/>
        <w:ind w:firstLine="420"/>
        <w:spacing w:line="360" w:lineRule="auto"/>
        <w:rPr>
          <w:rFonts w:ascii="宋体" w:hAnsi="宋体" w:cs="宋体"/>
          <w:bCs/>
          <w:szCs w:val="21"/>
        </w:rPr>
      </w:pPr>
      <w:r>
        <w:rPr>
          <w:rFonts w:hint="eastAsia" w:ascii="宋体" w:hAnsi="宋体" w:cs="宋体"/>
          <w:bCs/>
          <w:szCs w:val="21"/>
        </w:rPr>
        <w:t xml:space="preserve">（4）项目需求</w:t>
      </w:r>
      <w:r/>
    </w:p>
    <w:p>
      <w:pPr>
        <w:pStyle w:val="840"/>
        <w:ind w:firstLine="420"/>
        <w:spacing w:line="360" w:lineRule="auto"/>
        <w:rPr>
          <w:rFonts w:ascii="宋体" w:hAnsi="宋体" w:cs="宋体"/>
          <w:bCs/>
          <w:szCs w:val="21"/>
        </w:rPr>
      </w:pPr>
      <w:r>
        <w:rPr>
          <w:rFonts w:hint="eastAsia" w:ascii="宋体" w:hAnsi="宋体" w:cs="宋体"/>
          <w:bCs/>
          <w:szCs w:val="21"/>
        </w:rPr>
        <w:t xml:space="preserve">（5）评标方法与评标标准</w:t>
      </w:r>
      <w:r/>
    </w:p>
    <w:p>
      <w:pPr>
        <w:pStyle w:val="840"/>
        <w:ind w:firstLine="420"/>
        <w:spacing w:line="360" w:lineRule="auto"/>
        <w:rPr>
          <w:rFonts w:ascii="宋体" w:hAnsi="宋体" w:cs="宋体"/>
          <w:bCs/>
          <w:szCs w:val="21"/>
        </w:rPr>
      </w:pPr>
      <w:r>
        <w:rPr>
          <w:rFonts w:hint="eastAsia" w:ascii="宋体" w:hAnsi="宋体" w:cs="宋体"/>
          <w:bCs/>
          <w:szCs w:val="21"/>
        </w:rPr>
        <w:t xml:space="preserve">（6）投标文件格式</w:t>
      </w:r>
      <w:r/>
    </w:p>
    <w:p>
      <w:pPr>
        <w:pStyle w:val="840"/>
        <w:ind w:firstLine="420"/>
        <w:spacing w:line="360" w:lineRule="auto"/>
        <w:rPr>
          <w:rFonts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pStyle w:val="840"/>
        <w:ind w:firstLine="420"/>
        <w:spacing w:line="360" w:lineRule="auto"/>
        <w:rPr>
          <w:rFonts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pStyle w:val="840"/>
        <w:ind w:firstLine="420"/>
        <w:spacing w:line="360" w:lineRule="auto"/>
        <w:rPr>
          <w:rFonts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pStyle w:val="840"/>
        <w:ind w:firstLine="420"/>
        <w:spacing w:line="360" w:lineRule="auto"/>
        <w:rPr>
          <w:rFonts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0"/>
        <w:ind w:firstLine="422"/>
        <w:spacing w:line="360" w:lineRule="auto"/>
        <w:rPr>
          <w:rFonts w:ascii="宋体" w:hAnsi="宋体" w:cs="宋体"/>
          <w:b/>
          <w:szCs w:val="21"/>
        </w:rPr>
      </w:pPr>
      <w:r>
        <w:rPr>
          <w:rFonts w:hint="eastAsia" w:ascii="宋体" w:hAnsi="宋体" w:cs="宋体"/>
          <w:b/>
          <w:szCs w:val="21"/>
        </w:rPr>
        <w:t xml:space="preserve">7、招标文件的澄清</w:t>
      </w:r>
      <w:r/>
    </w:p>
    <w:p>
      <w:pPr>
        <w:pStyle w:val="840"/>
        <w:ind w:firstLine="420"/>
        <w:spacing w:line="360" w:lineRule="auto"/>
        <w:rPr>
          <w:rFonts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pStyle w:val="840"/>
        <w:ind w:firstLine="422"/>
        <w:spacing w:line="360" w:lineRule="auto"/>
        <w:rPr>
          <w:rFonts w:ascii="宋体" w:hAnsi="宋体" w:cs="宋体"/>
          <w:b/>
          <w:szCs w:val="21"/>
        </w:rPr>
      </w:pPr>
      <w:r>
        <w:rPr>
          <w:rFonts w:hint="eastAsia" w:ascii="宋体" w:hAnsi="宋体" w:cs="宋体"/>
          <w:b/>
          <w:szCs w:val="21"/>
        </w:rPr>
        <w:t xml:space="preserve">8、招标文件的修改</w:t>
      </w:r>
      <w:r/>
    </w:p>
    <w:p>
      <w:pPr>
        <w:pStyle w:val="840"/>
        <w:ind w:firstLine="420"/>
        <w:spacing w:line="360" w:lineRule="auto"/>
        <w:rPr>
          <w:rFonts w:ascii="宋体" w:hAnsi="宋体" w:cs="宋体"/>
          <w:bCs/>
          <w:szCs w:val="21"/>
        </w:rPr>
      </w:pPr>
      <w:r>
        <w:rPr>
          <w:rFonts w:hint="eastAsia" w:ascii="宋体" w:hAnsi="宋体" w:cs="宋体"/>
          <w:bCs/>
          <w:szCs w:val="21"/>
        </w:rPr>
        <w:t xml:space="preserve">8.1 在投标截止时间前，代理机构可以对招标文件进行修改。</w:t>
      </w:r>
      <w:r/>
    </w:p>
    <w:p>
      <w:pPr>
        <w:pStyle w:val="840"/>
        <w:ind w:firstLine="420"/>
        <w:spacing w:line="360" w:lineRule="auto"/>
        <w:rPr>
          <w:rFonts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pStyle w:val="840"/>
        <w:ind w:firstLine="420"/>
        <w:spacing w:line="360" w:lineRule="auto"/>
        <w:rPr>
          <w:rFonts w:ascii="宋体" w:hAnsi="宋体" w:cs="宋体"/>
          <w:bCs/>
          <w:szCs w:val="21"/>
        </w:rPr>
      </w:pPr>
      <w:r>
        <w:rPr>
          <w:rFonts w:hint="eastAsia" w:ascii="宋体" w:hAnsi="宋体" w:cs="宋体"/>
          <w:bCs/>
          <w:szCs w:val="21"/>
        </w:rPr>
        <w:t xml:space="preserve">8.3招标文件的修改将在“江苏省政府采购网”、“中国政府采购网”公布，补充文件将作为招标文件的组成部分，并对投标人具有约束力。</w:t>
      </w:r>
      <w:r/>
    </w:p>
    <w:p>
      <w:pPr>
        <w:pStyle w:val="840"/>
        <w:ind w:firstLine="422"/>
        <w:spacing w:line="360" w:lineRule="auto"/>
        <w:rPr>
          <w:rFonts w:ascii="宋体" w:hAnsi="宋体" w:cs="宋体"/>
          <w:b/>
          <w:szCs w:val="21"/>
        </w:rPr>
      </w:pPr>
      <w:r>
        <w:rPr>
          <w:rFonts w:hint="eastAsia" w:ascii="宋体" w:hAnsi="宋体" w:cs="宋体"/>
          <w:b/>
          <w:szCs w:val="21"/>
        </w:rPr>
        <w:t xml:space="preserve">9、投标文件的语言、度量衡单位、货币</w:t>
      </w:r>
      <w:r/>
    </w:p>
    <w:p>
      <w:pPr>
        <w:pStyle w:val="840"/>
        <w:ind w:firstLine="420"/>
        <w:spacing w:line="360" w:lineRule="auto"/>
        <w:rPr>
          <w:rFonts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pStyle w:val="840"/>
        <w:ind w:firstLine="420"/>
        <w:spacing w:line="360" w:lineRule="auto"/>
        <w:rPr>
          <w:rFonts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pStyle w:val="840"/>
        <w:ind w:firstLine="420"/>
        <w:spacing w:line="360" w:lineRule="auto"/>
        <w:rPr>
          <w:rFonts w:ascii="宋体" w:hAnsi="宋体" w:cs="宋体"/>
          <w:bCs/>
          <w:szCs w:val="21"/>
        </w:rPr>
      </w:pPr>
      <w:r>
        <w:rPr>
          <w:rFonts w:hint="eastAsia" w:ascii="宋体" w:hAnsi="宋体" w:cs="宋体"/>
          <w:bCs/>
          <w:szCs w:val="21"/>
        </w:rPr>
        <w:t xml:space="preserve">9.3投标人应使用人民币报价。</w:t>
      </w:r>
      <w:r/>
    </w:p>
    <w:p>
      <w:pPr>
        <w:pStyle w:val="840"/>
        <w:ind w:firstLine="422"/>
        <w:spacing w:line="360" w:lineRule="auto"/>
        <w:rPr>
          <w:rFonts w:ascii="宋体" w:hAnsi="宋体" w:cs="宋体"/>
          <w:b/>
          <w:szCs w:val="21"/>
        </w:rPr>
      </w:pPr>
      <w:r>
        <w:rPr>
          <w:rFonts w:hint="eastAsia" w:ascii="宋体" w:hAnsi="宋体" w:cs="宋体"/>
          <w:b/>
          <w:szCs w:val="21"/>
        </w:rPr>
        <w:t xml:space="preserve">10、投标文件构成</w:t>
      </w:r>
      <w:r/>
    </w:p>
    <w:p>
      <w:pPr>
        <w:pStyle w:val="840"/>
        <w:ind w:firstLine="420"/>
        <w:spacing w:line="360" w:lineRule="auto"/>
        <w:rPr>
          <w:rFonts w:ascii="宋体" w:hAnsi="宋体" w:cs="宋体"/>
          <w:bCs/>
          <w:szCs w:val="21"/>
        </w:rPr>
      </w:pPr>
      <w:r>
        <w:rPr>
          <w:rFonts w:hint="eastAsia" w:ascii="宋体" w:hAnsi="宋体" w:cs="宋体"/>
          <w:bCs/>
          <w:szCs w:val="21"/>
        </w:rPr>
        <w:t xml:space="preserve">10.1投标文件由以下部分组成</w:t>
      </w:r>
      <w:r/>
    </w:p>
    <w:p>
      <w:pPr>
        <w:pStyle w:val="840"/>
        <w:ind w:firstLine="420"/>
        <w:spacing w:line="360" w:lineRule="auto"/>
        <w:rPr>
          <w:rFonts w:ascii="宋体" w:hAnsi="宋体" w:cs="宋体"/>
          <w:bCs/>
          <w:color w:val="000000"/>
          <w:szCs w:val="21"/>
        </w:rPr>
      </w:pPr>
      <w:r>
        <w:rPr>
          <w:rFonts w:hint="eastAsia" w:ascii="宋体" w:hAnsi="宋体" w:cs="宋体"/>
          <w:bCs/>
          <w:color w:val="000000"/>
          <w:szCs w:val="21"/>
        </w:rPr>
        <w:t xml:space="preserve">（1）资格审查响应对照表</w:t>
      </w:r>
      <w:r/>
    </w:p>
    <w:p>
      <w:pPr>
        <w:pStyle w:val="840"/>
        <w:ind w:firstLine="420"/>
        <w:spacing w:line="360" w:lineRule="auto"/>
        <w:rPr>
          <w:rFonts w:ascii="宋体" w:hAnsi="宋体" w:cs="宋体"/>
          <w:bCs/>
          <w:color w:val="000000"/>
          <w:szCs w:val="21"/>
        </w:rPr>
      </w:pPr>
      <w:r>
        <w:rPr>
          <w:rFonts w:hint="eastAsia" w:ascii="宋体" w:hAnsi="宋体" w:cs="宋体"/>
          <w:bCs/>
          <w:color w:val="000000"/>
          <w:szCs w:val="21"/>
        </w:rPr>
        <w:t xml:space="preserve">（2）符合性审查响应对照表</w:t>
      </w:r>
      <w:r/>
    </w:p>
    <w:p>
      <w:pPr>
        <w:pStyle w:val="840"/>
        <w:ind w:firstLine="420"/>
        <w:spacing w:line="360" w:lineRule="auto"/>
        <w:rPr>
          <w:rFonts w:ascii="宋体" w:hAnsi="宋体" w:cs="宋体"/>
          <w:bCs/>
          <w:color w:val="000000"/>
          <w:szCs w:val="21"/>
        </w:rPr>
      </w:pPr>
      <w:r>
        <w:rPr>
          <w:rFonts w:hint="eastAsia" w:ascii="宋体" w:hAnsi="宋体" w:cs="宋体"/>
          <w:bCs/>
          <w:color w:val="000000"/>
          <w:szCs w:val="21"/>
        </w:rPr>
        <w:t xml:space="preserve">（3）非实质性响应对照表</w:t>
      </w:r>
      <w:r/>
    </w:p>
    <w:p>
      <w:pPr>
        <w:pStyle w:val="840"/>
        <w:ind w:firstLine="420"/>
        <w:spacing w:line="360" w:lineRule="auto"/>
        <w:rPr>
          <w:rFonts w:ascii="宋体" w:hAnsi="宋体" w:cs="宋体"/>
          <w:bCs/>
          <w:color w:val="000000"/>
          <w:szCs w:val="21"/>
        </w:rPr>
      </w:pPr>
      <w:r>
        <w:rPr>
          <w:rFonts w:hint="eastAsia" w:ascii="宋体" w:hAnsi="宋体" w:cs="宋体"/>
          <w:bCs/>
          <w:color w:val="000000"/>
          <w:szCs w:val="21"/>
        </w:rPr>
        <w:t xml:space="preserve">（4）开标一览表 </w:t>
      </w:r>
      <w:r/>
    </w:p>
    <w:p>
      <w:pPr>
        <w:pStyle w:val="840"/>
        <w:ind w:firstLine="420"/>
        <w:spacing w:line="360" w:lineRule="auto"/>
        <w:rPr>
          <w:rFonts w:ascii="宋体" w:hAnsi="宋体" w:cs="宋体"/>
          <w:bCs/>
          <w:color w:val="000000"/>
          <w:szCs w:val="21"/>
        </w:rPr>
      </w:pPr>
      <w:r>
        <w:rPr>
          <w:rFonts w:hint="eastAsia" w:ascii="宋体" w:hAnsi="宋体" w:cs="宋体"/>
          <w:bCs/>
          <w:color w:val="000000"/>
          <w:szCs w:val="21"/>
        </w:rPr>
        <w:t xml:space="preserve">（5）分项报价表 </w:t>
      </w:r>
      <w:r/>
    </w:p>
    <w:p>
      <w:pPr>
        <w:pStyle w:val="840"/>
        <w:ind w:firstLine="420"/>
        <w:spacing w:line="360" w:lineRule="auto"/>
        <w:rPr>
          <w:rFonts w:ascii="宋体" w:hAnsi="宋体" w:cs="宋体"/>
          <w:bCs/>
          <w:color w:val="000000"/>
          <w:szCs w:val="21"/>
        </w:rPr>
      </w:pPr>
      <w:r>
        <w:rPr>
          <w:rFonts w:hint="eastAsia" w:ascii="宋体" w:hAnsi="宋体" w:cs="宋体"/>
          <w:bCs/>
          <w:color w:val="000000"/>
          <w:szCs w:val="21"/>
        </w:rPr>
        <w:t xml:space="preserve">（6）技术参数响应及偏离表 </w:t>
      </w:r>
      <w:r/>
    </w:p>
    <w:p>
      <w:pPr>
        <w:pStyle w:val="840"/>
        <w:ind w:firstLine="420"/>
        <w:spacing w:line="360" w:lineRule="auto"/>
        <w:rPr>
          <w:rFonts w:ascii="宋体" w:hAnsi="宋体" w:cs="宋体"/>
          <w:bCs/>
          <w:color w:val="000000"/>
          <w:szCs w:val="21"/>
        </w:rPr>
      </w:pPr>
      <w:r>
        <w:rPr>
          <w:rFonts w:hint="eastAsia" w:ascii="宋体" w:hAnsi="宋体" w:cs="宋体"/>
          <w:bCs/>
          <w:color w:val="000000"/>
          <w:szCs w:val="21"/>
        </w:rPr>
        <w:t xml:space="preserve">（7）商务条款响应及偏离表 </w:t>
      </w:r>
      <w:r/>
    </w:p>
    <w:p>
      <w:pPr>
        <w:pStyle w:val="840"/>
        <w:ind w:firstLine="420"/>
        <w:spacing w:line="360" w:lineRule="auto"/>
        <w:rPr>
          <w:rFonts w:ascii="宋体" w:hAnsi="宋体" w:cs="宋体"/>
          <w:bCs/>
          <w:color w:val="000000"/>
          <w:szCs w:val="21"/>
        </w:rPr>
      </w:pPr>
      <w:r>
        <w:rPr>
          <w:rFonts w:hint="eastAsia" w:ascii="宋体" w:hAnsi="宋体" w:cs="宋体"/>
          <w:bCs/>
          <w:color w:val="000000"/>
          <w:szCs w:val="21"/>
        </w:rPr>
        <w:t xml:space="preserve">（8）其他 （投标人认为有必要提供的声明和文件，如有自拟并自行添加）</w:t>
      </w:r>
      <w:r/>
    </w:p>
    <w:p>
      <w:pPr>
        <w:pStyle w:val="840"/>
        <w:ind w:firstLine="420"/>
        <w:spacing w:line="360" w:lineRule="auto"/>
        <w:rPr>
          <w:rFonts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pStyle w:val="840"/>
        <w:ind w:firstLine="422"/>
        <w:spacing w:line="360" w:lineRule="auto"/>
        <w:rPr>
          <w:rFonts w:ascii="宋体" w:hAnsi="宋体" w:cs="宋体"/>
          <w:b/>
          <w:szCs w:val="21"/>
        </w:rPr>
      </w:pPr>
      <w:r>
        <w:rPr>
          <w:rFonts w:hint="eastAsia" w:ascii="宋体" w:hAnsi="宋体" w:cs="宋体"/>
          <w:b/>
          <w:szCs w:val="21"/>
        </w:rPr>
        <w:t xml:space="preserve">11、证明投标人资格及符合招标文件规定的文件</w:t>
      </w:r>
      <w:r/>
    </w:p>
    <w:p>
      <w:pPr>
        <w:pStyle w:val="840"/>
        <w:ind w:firstLine="420"/>
        <w:spacing w:line="360" w:lineRule="auto"/>
        <w:rPr>
          <w:rFonts w:ascii="宋体" w:hAnsi="宋体" w:cs="宋体"/>
          <w:bCs/>
          <w:szCs w:val="21"/>
        </w:rPr>
      </w:pPr>
      <w:r>
        <w:rPr>
          <w:rFonts w:hint="eastAsia" w:ascii="宋体" w:hAnsi="宋体" w:cs="宋体"/>
          <w:bCs/>
          <w:szCs w:val="21"/>
        </w:rPr>
        <w:t xml:space="preserve">11.1投标人应按要求提交资格证明文件及符合招标文件规定的文件。</w:t>
      </w:r>
      <w:r/>
    </w:p>
    <w:p>
      <w:pPr>
        <w:pStyle w:val="840"/>
        <w:ind w:firstLine="420"/>
        <w:spacing w:line="360" w:lineRule="auto"/>
        <w:rPr>
          <w:rFonts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pStyle w:val="840"/>
        <w:ind w:firstLine="420"/>
        <w:spacing w:line="360" w:lineRule="auto"/>
        <w:rPr>
          <w:rFonts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pStyle w:val="840"/>
        <w:ind w:firstLine="420"/>
        <w:spacing w:line="360" w:lineRule="auto"/>
        <w:rPr>
          <w:rFonts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pStyle w:val="840"/>
        <w:ind w:firstLine="420"/>
        <w:spacing w:line="360" w:lineRule="auto"/>
        <w:rPr>
          <w:rFonts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pStyle w:val="840"/>
        <w:ind w:firstLine="422"/>
        <w:spacing w:line="360" w:lineRule="auto"/>
        <w:rPr>
          <w:rFonts w:ascii="宋体" w:hAnsi="宋体" w:cs="宋体"/>
          <w:b/>
          <w:szCs w:val="21"/>
        </w:rPr>
      </w:pPr>
      <w:r>
        <w:rPr>
          <w:rFonts w:hint="eastAsia" w:ascii="宋体" w:hAnsi="宋体" w:cs="宋体"/>
          <w:b/>
          <w:szCs w:val="21"/>
        </w:rPr>
        <w:t xml:space="preserve">12、分项报价表</w:t>
      </w:r>
      <w:r/>
    </w:p>
    <w:p>
      <w:pPr>
        <w:pStyle w:val="840"/>
        <w:ind w:firstLine="420"/>
        <w:spacing w:line="360" w:lineRule="auto"/>
        <w:rPr>
          <w:rFonts w:ascii="宋体" w:hAnsi="宋体" w:cs="宋体"/>
          <w:bCs/>
          <w:szCs w:val="21"/>
        </w:rPr>
      </w:pPr>
      <w:r>
        <w:rPr>
          <w:rFonts w:hint="eastAsia" w:ascii="宋体" w:hAnsi="宋体" w:cs="宋体"/>
          <w:bCs/>
          <w:szCs w:val="21"/>
        </w:rPr>
        <w:t xml:space="preserve">12.1 投标人应按照招标文件规定格式填报分项报价表，每项服务只允许有一个报价，任何有选择的报价将不予接受。</w:t>
      </w:r>
      <w:r/>
    </w:p>
    <w:p>
      <w:pPr>
        <w:pStyle w:val="840"/>
        <w:ind w:firstLine="420"/>
        <w:spacing w:line="360" w:lineRule="auto"/>
        <w:rPr>
          <w:rFonts w:ascii="宋体" w:hAnsi="宋体" w:cs="宋体"/>
          <w:bCs/>
          <w:szCs w:val="21"/>
        </w:rPr>
      </w:pPr>
      <w:r>
        <w:rPr>
          <w:rFonts w:hint="eastAsia" w:ascii="宋体" w:hAnsi="宋体" w:cs="宋体"/>
          <w:bCs/>
          <w:szCs w:val="21"/>
        </w:rPr>
        <w:t xml:space="preserve">12.2 标的物</w:t>
      </w:r>
      <w:r/>
    </w:p>
    <w:p>
      <w:pPr>
        <w:pStyle w:val="840"/>
        <w:ind w:firstLine="420"/>
        <w:spacing w:line="360" w:lineRule="auto"/>
        <w:rPr>
          <w:rFonts w:ascii="宋体" w:hAnsi="宋体" w:cs="宋体"/>
          <w:bCs/>
          <w:szCs w:val="21"/>
        </w:rPr>
      </w:pPr>
      <w:r>
        <w:rPr>
          <w:rFonts w:hint="eastAsia" w:ascii="宋体" w:hAnsi="宋体" w:cs="宋体"/>
          <w:bCs/>
          <w:szCs w:val="21"/>
        </w:rPr>
        <w:t xml:space="preserve">采购人需求的服务供应、安装，调试及有关技术服务等。</w:t>
      </w:r>
      <w:r/>
    </w:p>
    <w:p>
      <w:pPr>
        <w:pStyle w:val="840"/>
        <w:ind w:firstLine="420"/>
        <w:spacing w:line="360" w:lineRule="auto"/>
        <w:rPr>
          <w:rFonts w:ascii="宋体" w:hAnsi="宋体" w:cs="宋体"/>
          <w:bCs/>
          <w:szCs w:val="21"/>
        </w:rPr>
      </w:pPr>
      <w:r>
        <w:rPr>
          <w:rFonts w:hint="eastAsia" w:ascii="宋体" w:hAnsi="宋体" w:cs="宋体"/>
          <w:bCs/>
          <w:szCs w:val="21"/>
        </w:rPr>
        <w:t xml:space="preserve">12.3其它费用处理</w:t>
      </w:r>
      <w:r/>
    </w:p>
    <w:p>
      <w:pPr>
        <w:pStyle w:val="840"/>
        <w:ind w:firstLine="420"/>
        <w:spacing w:line="360" w:lineRule="auto"/>
        <w:rPr>
          <w:rFonts w:ascii="宋体" w:hAnsi="宋体" w:cs="宋体"/>
          <w:bCs/>
          <w:szCs w:val="21"/>
        </w:rPr>
      </w:pPr>
      <w:r>
        <w:rPr>
          <w:rFonts w:hint="eastAsia" w:ascii="宋体" w:hAnsi="宋体" w:cs="宋体"/>
          <w:bCs/>
          <w:szCs w:val="21"/>
        </w:rPr>
        <w:t xml:space="preserve">招标文件未列明，而投标人认为必需的费用也需列入报价。</w:t>
      </w:r>
      <w:r/>
    </w:p>
    <w:p>
      <w:pPr>
        <w:pStyle w:val="840"/>
        <w:ind w:firstLine="420"/>
        <w:spacing w:line="360" w:lineRule="auto"/>
        <w:rPr>
          <w:rFonts w:ascii="宋体" w:hAnsi="宋体" w:cs="宋体"/>
          <w:bCs/>
          <w:szCs w:val="21"/>
        </w:rPr>
      </w:pPr>
      <w:r>
        <w:rPr>
          <w:rFonts w:hint="eastAsia" w:ascii="宋体" w:hAnsi="宋体" w:cs="宋体"/>
          <w:bCs/>
          <w:szCs w:val="21"/>
        </w:rPr>
        <w:t xml:space="preserve">12.4投标货币</w:t>
      </w:r>
      <w:r/>
    </w:p>
    <w:p>
      <w:pPr>
        <w:pStyle w:val="840"/>
        <w:ind w:firstLine="420"/>
        <w:spacing w:line="360" w:lineRule="auto"/>
        <w:rPr>
          <w:rFonts w:ascii="宋体" w:hAnsi="宋体" w:cs="宋体"/>
          <w:bCs/>
          <w:szCs w:val="21"/>
        </w:rPr>
      </w:pPr>
      <w:r>
        <w:rPr>
          <w:rFonts w:hint="eastAsia" w:ascii="宋体" w:hAnsi="宋体" w:cs="宋体"/>
          <w:bCs/>
          <w:szCs w:val="21"/>
        </w:rPr>
        <w:t xml:space="preserve">投标文件中的服务单价和总价无特殊规定的采用人民币报价，以元为单位标注。招标文件中另有规定的按规定执行。</w:t>
      </w:r>
      <w:r/>
    </w:p>
    <w:p>
      <w:pPr>
        <w:pStyle w:val="840"/>
        <w:ind w:firstLine="422"/>
        <w:spacing w:line="360" w:lineRule="auto"/>
        <w:rPr>
          <w:rFonts w:ascii="宋体" w:hAnsi="宋体" w:cs="宋体"/>
          <w:b/>
          <w:szCs w:val="21"/>
        </w:rPr>
      </w:pPr>
      <w:r>
        <w:rPr>
          <w:rFonts w:hint="eastAsia" w:ascii="宋体" w:hAnsi="宋体" w:cs="宋体"/>
          <w:b/>
          <w:szCs w:val="21"/>
        </w:rPr>
        <w:t xml:space="preserve">13、技术参数响应及偏离表、商务条款响应及偏离表及投标服务说明</w:t>
      </w:r>
      <w:r/>
    </w:p>
    <w:p>
      <w:pPr>
        <w:pStyle w:val="840"/>
        <w:ind w:firstLine="420"/>
        <w:spacing w:line="360" w:lineRule="auto"/>
        <w:rPr>
          <w:rFonts w:ascii="宋体" w:hAnsi="宋体" w:cs="宋体"/>
          <w:bCs/>
          <w:szCs w:val="21"/>
        </w:rPr>
      </w:pPr>
      <w:r>
        <w:rPr>
          <w:rFonts w:hint="eastAsia" w:ascii="宋体" w:hAnsi="宋体" w:cs="宋体"/>
          <w:bCs/>
          <w:szCs w:val="21"/>
        </w:rPr>
        <w:t xml:space="preserve">13.1 对招标文件中的技术与商务条款要求逐项作出响应或偏离，并说明原因；</w:t>
      </w:r>
      <w:r/>
    </w:p>
    <w:p>
      <w:pPr>
        <w:pStyle w:val="840"/>
        <w:ind w:firstLine="420"/>
        <w:spacing w:line="360" w:lineRule="auto"/>
        <w:rPr>
          <w:rFonts w:ascii="宋体" w:hAnsi="宋体" w:cs="宋体"/>
          <w:bCs/>
          <w:szCs w:val="21"/>
        </w:rPr>
      </w:pPr>
      <w:r>
        <w:rPr>
          <w:rFonts w:hint="eastAsia" w:ascii="宋体" w:hAnsi="宋体" w:cs="宋体"/>
          <w:bCs/>
          <w:szCs w:val="21"/>
        </w:rPr>
        <w:t xml:space="preserve">13.2 提供参加本项目类似案例简介；</w:t>
      </w:r>
      <w:r/>
    </w:p>
    <w:p>
      <w:pPr>
        <w:pStyle w:val="840"/>
        <w:ind w:firstLine="420"/>
        <w:spacing w:line="360" w:lineRule="auto"/>
        <w:rPr>
          <w:rFonts w:ascii="宋体" w:hAnsi="宋体" w:cs="宋体"/>
          <w:bCs/>
          <w:szCs w:val="21"/>
        </w:rPr>
      </w:pPr>
      <w:r>
        <w:rPr>
          <w:rFonts w:hint="eastAsia" w:ascii="宋体" w:hAnsi="宋体" w:cs="宋体"/>
          <w:bCs/>
          <w:szCs w:val="21"/>
        </w:rPr>
        <w:t xml:space="preserve">13.3 详细阐述所投服务的主要组成部分、功能设计、实现思路及关键技术；</w:t>
      </w:r>
      <w:r/>
    </w:p>
    <w:p>
      <w:pPr>
        <w:pStyle w:val="840"/>
        <w:ind w:firstLine="420"/>
        <w:spacing w:line="360" w:lineRule="auto"/>
        <w:rPr>
          <w:rFonts w:ascii="宋体" w:hAnsi="宋体" w:cs="宋体"/>
          <w:bCs/>
          <w:szCs w:val="21"/>
        </w:rPr>
      </w:pPr>
      <w:r>
        <w:rPr>
          <w:rFonts w:hint="eastAsia" w:ascii="宋体" w:hAnsi="宋体" w:cs="宋体"/>
          <w:bCs/>
          <w:szCs w:val="21"/>
        </w:rPr>
        <w:t xml:space="preserve">13.4 投标人认为需要的其他技术文件或说明。</w:t>
      </w:r>
      <w:r/>
    </w:p>
    <w:p>
      <w:pPr>
        <w:pStyle w:val="840"/>
        <w:ind w:firstLine="422"/>
        <w:spacing w:line="360" w:lineRule="auto"/>
        <w:rPr>
          <w:rFonts w:ascii="宋体" w:hAnsi="宋体" w:cs="宋体"/>
          <w:b/>
          <w:szCs w:val="21"/>
        </w:rPr>
      </w:pPr>
      <w:r>
        <w:rPr>
          <w:rFonts w:hint="eastAsia" w:ascii="宋体" w:hAnsi="宋体" w:cs="宋体"/>
          <w:b/>
          <w:szCs w:val="21"/>
        </w:rPr>
        <w:t xml:space="preserve">14、服务承诺及售后服务机构、人员的情况介绍</w:t>
      </w:r>
      <w:r/>
    </w:p>
    <w:p>
      <w:pPr>
        <w:pStyle w:val="840"/>
        <w:ind w:firstLine="420"/>
        <w:spacing w:line="360" w:lineRule="auto"/>
        <w:rPr>
          <w:rFonts w:ascii="宋体" w:hAnsi="宋体" w:cs="宋体"/>
          <w:bCs/>
          <w:szCs w:val="21"/>
        </w:rPr>
      </w:pPr>
      <w:r>
        <w:rPr>
          <w:rFonts w:hint="eastAsia" w:ascii="宋体" w:hAnsi="宋体" w:cs="宋体"/>
          <w:bCs/>
          <w:szCs w:val="21"/>
        </w:rPr>
        <w:t xml:space="preserve">14.1投标人的服务承诺应按不低于招标文件中商务要求的标准。</w:t>
      </w:r>
      <w:r/>
    </w:p>
    <w:p>
      <w:pPr>
        <w:pStyle w:val="840"/>
        <w:ind w:firstLine="420"/>
        <w:spacing w:line="360" w:lineRule="auto"/>
        <w:rPr>
          <w:rFonts w:ascii="宋体" w:hAnsi="宋体" w:cs="宋体"/>
          <w:bCs/>
          <w:szCs w:val="21"/>
        </w:rPr>
      </w:pPr>
      <w:r>
        <w:rPr>
          <w:rFonts w:hint="eastAsia" w:ascii="宋体" w:hAnsi="宋体" w:cs="宋体"/>
          <w:bCs/>
          <w:szCs w:val="21"/>
        </w:rPr>
        <w:t xml:space="preserve">14.2提供投标人有关售后服务的管理制度、售后服务机构的分布情况、售后服务人员的数量、素质、技术水平及售后服务的反应能力。</w:t>
      </w:r>
      <w:r/>
    </w:p>
    <w:p>
      <w:pPr>
        <w:pStyle w:val="840"/>
        <w:ind w:firstLine="422"/>
        <w:spacing w:line="360" w:lineRule="auto"/>
        <w:rPr>
          <w:rFonts w:ascii="宋体" w:hAnsi="宋体" w:cs="宋体"/>
          <w:b/>
          <w:szCs w:val="21"/>
        </w:rPr>
      </w:pPr>
      <w:r>
        <w:rPr>
          <w:rFonts w:hint="eastAsia" w:ascii="宋体" w:hAnsi="宋体" w:cs="宋体"/>
          <w:b/>
          <w:szCs w:val="21"/>
        </w:rPr>
        <w:t xml:space="preserve">15、投标函和开标一览表</w:t>
      </w:r>
      <w:r/>
    </w:p>
    <w:p>
      <w:pPr>
        <w:pStyle w:val="840"/>
        <w:ind w:firstLine="420"/>
        <w:spacing w:line="360" w:lineRule="auto"/>
        <w:rPr>
          <w:rFonts w:ascii="宋体" w:hAnsi="宋体" w:cs="宋体"/>
          <w:bCs/>
          <w:szCs w:val="21"/>
        </w:rPr>
      </w:pPr>
      <w:r>
        <w:rPr>
          <w:rFonts w:hint="eastAsia" w:ascii="宋体" w:hAnsi="宋体" w:cs="宋体"/>
          <w:bCs/>
          <w:szCs w:val="21"/>
        </w:rPr>
        <w:t xml:space="preserve">15.1 投标人应按照招标文件中提供的格式完整、正确填写投标函、开标一览表。</w:t>
      </w:r>
      <w:r/>
    </w:p>
    <w:p>
      <w:pPr>
        <w:pStyle w:val="840"/>
        <w:ind w:firstLine="420"/>
        <w:spacing w:line="360" w:lineRule="auto"/>
        <w:rPr>
          <w:rFonts w:ascii="宋体" w:hAnsi="宋体" w:cs="宋体"/>
          <w:bCs/>
          <w:szCs w:val="21"/>
        </w:rPr>
      </w:pPr>
      <w:r>
        <w:rPr>
          <w:rFonts w:hint="eastAsia" w:ascii="宋体" w:hAnsi="宋体" w:cs="宋体"/>
          <w:bCs/>
          <w:szCs w:val="21"/>
        </w:rPr>
        <w:t xml:space="preserve">15.2 开标一览表中的价格应与投标文件中分项报价表中的价格一致，如不一致，不作为无效投标处理，但评标时按开标一览表中价格为准。</w:t>
      </w:r>
      <w:r/>
    </w:p>
    <w:p>
      <w:pPr>
        <w:pStyle w:val="840"/>
        <w:ind w:firstLine="422"/>
        <w:spacing w:line="360" w:lineRule="auto"/>
        <w:rPr>
          <w:rFonts w:ascii="宋体" w:hAnsi="宋体" w:cs="宋体"/>
          <w:b/>
          <w:szCs w:val="21"/>
        </w:rPr>
      </w:pPr>
      <w:r>
        <w:rPr>
          <w:rFonts w:hint="eastAsia" w:ascii="宋体" w:hAnsi="宋体" w:cs="宋体"/>
          <w:b/>
          <w:szCs w:val="21"/>
        </w:rPr>
        <w:t xml:space="preserve">16、投标有效期</w:t>
      </w:r>
      <w:r/>
    </w:p>
    <w:p>
      <w:pPr>
        <w:pStyle w:val="840"/>
        <w:ind w:firstLine="420"/>
        <w:spacing w:line="360" w:lineRule="auto"/>
        <w:rPr>
          <w:rFonts w:ascii="宋体" w:hAnsi="宋体" w:cs="宋体"/>
          <w:bCs/>
          <w:szCs w:val="21"/>
        </w:rPr>
      </w:pPr>
      <w:r>
        <w:rPr>
          <w:rFonts w:hint="eastAsia" w:ascii="宋体" w:hAnsi="宋体" w:cs="宋体"/>
          <w:bCs/>
          <w:szCs w:val="21"/>
        </w:rPr>
        <w:t xml:space="preserve">16.1 投标有效期为开标之日起六十（60）天。投标有效期比规定短的将被视为非响应性投标而予以拒绝。</w:t>
      </w:r>
      <w:r/>
    </w:p>
    <w:p>
      <w:pPr>
        <w:pStyle w:val="840"/>
        <w:ind w:firstLine="420"/>
        <w:spacing w:line="360" w:lineRule="auto"/>
        <w:rPr>
          <w:rFonts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40"/>
        <w:ind w:firstLine="422"/>
        <w:spacing w:line="360" w:lineRule="auto"/>
        <w:rPr>
          <w:rFonts w:ascii="宋体" w:hAnsi="宋体" w:cs="宋体"/>
          <w:b/>
          <w:szCs w:val="21"/>
        </w:rPr>
      </w:pPr>
      <w:r/>
      <w:bookmarkStart w:id="15" w:name="_Toc462564084"/>
      <w:r/>
      <w:bookmarkStart w:id="16" w:name="_Toc16938541"/>
      <w:r/>
      <w:bookmarkStart w:id="17" w:name="_Toc513029225"/>
      <w:r/>
      <w:bookmarkStart w:id="18" w:name="_Toc20823297"/>
      <w:r>
        <w:rPr>
          <w:rFonts w:hint="eastAsia" w:ascii="宋体" w:hAnsi="宋体" w:cs="宋体"/>
          <w:b/>
          <w:szCs w:val="21"/>
        </w:rPr>
        <w:t xml:space="preserve">17、投标文件</w:t>
      </w:r>
      <w:bookmarkEnd w:id="15"/>
      <w:r/>
      <w:bookmarkEnd w:id="16"/>
      <w:r/>
      <w:bookmarkEnd w:id="17"/>
      <w:r/>
      <w:bookmarkEnd w:id="18"/>
      <w:r>
        <w:rPr>
          <w:rFonts w:hint="eastAsia" w:ascii="宋体" w:hAnsi="宋体" w:cs="宋体"/>
          <w:b/>
          <w:szCs w:val="21"/>
        </w:rPr>
        <w:t xml:space="preserve">的递交</w:t>
      </w:r>
      <w:r/>
    </w:p>
    <w:p>
      <w:pPr>
        <w:pStyle w:val="840"/>
        <w:ind w:firstLine="420"/>
        <w:spacing w:line="360" w:lineRule="auto"/>
        <w:rPr>
          <w:rFonts w:ascii="宋体" w:hAnsi="宋体" w:cs="宋体"/>
          <w:bCs/>
          <w:szCs w:val="21"/>
        </w:rPr>
      </w:pPr>
      <w:r>
        <w:rPr>
          <w:rFonts w:hint="eastAsia" w:ascii="宋体" w:hAnsi="宋体" w:cs="宋体"/>
          <w:bCs/>
          <w:szCs w:val="21"/>
        </w:rPr>
        <w:t xml:space="preserve">17.1 电子投标文件的递交投标人应当按照《操作手册》规定，在投标截止时间前制作并上传电子投标文件。</w:t>
      </w:r>
      <w:bookmarkStart w:id="19" w:name="_Toc513029226"/>
      <w:r/>
      <w:bookmarkStart w:id="20" w:name="_Toc20823298"/>
      <w:r/>
      <w:bookmarkStart w:id="21" w:name="_Toc16938542"/>
      <w:r/>
      <w:r/>
    </w:p>
    <w:p>
      <w:pPr>
        <w:pStyle w:val="840"/>
        <w:ind w:firstLine="422"/>
        <w:spacing w:line="360" w:lineRule="auto"/>
        <w:rPr>
          <w:rFonts w:ascii="宋体" w:hAnsi="宋体" w:cs="宋体"/>
          <w:b/>
          <w:color w:val="000000"/>
          <w:szCs w:val="21"/>
        </w:rPr>
      </w:pPr>
      <w:r>
        <w:rPr>
          <w:rFonts w:hint="eastAsia" w:ascii="宋体" w:hAnsi="宋体" w:cs="宋体"/>
          <w:b/>
          <w:color w:val="000000"/>
          <w:szCs w:val="21"/>
        </w:rPr>
        <w:t xml:space="preserve">17.2</w:t>
      </w:r>
      <w:r>
        <w:rPr>
          <w:rFonts w:hint="eastAsia" w:ascii="宋体" w:hAnsi="宋体" w:cs="宋体"/>
          <w:b/>
          <w:bCs/>
          <w:color w:val="000000"/>
          <w:szCs w:val="21"/>
        </w:rPr>
        <w:t xml:space="preserve">政府采购管理交易系统（苏采云）</w:t>
      </w:r>
      <w:r>
        <w:rPr>
          <w:rFonts w:hint="eastAsia" w:ascii="宋体" w:hAnsi="宋体" w:cs="宋体"/>
          <w:b/>
          <w:color w:val="000000"/>
          <w:szCs w:val="21"/>
        </w:rPr>
        <w:t xml:space="preserve">相关要求是本招标文件的组成部分。</w:t>
      </w:r>
      <w:r/>
    </w:p>
    <w:p>
      <w:pPr>
        <w:pStyle w:val="840"/>
        <w:ind w:firstLine="422"/>
        <w:spacing w:line="360" w:lineRule="auto"/>
        <w:rPr>
          <w:rFonts w:ascii="宋体" w:hAnsi="宋体" w:cs="宋体"/>
          <w:b/>
          <w:color w:val="000000"/>
          <w:szCs w:val="21"/>
        </w:rPr>
      </w:pPr>
      <w:r>
        <w:rPr>
          <w:rFonts w:hint="eastAsia" w:ascii="宋体" w:hAnsi="宋体" w:cs="宋体"/>
          <w:b/>
          <w:color w:val="000000"/>
          <w:szCs w:val="21"/>
        </w:rPr>
        <w:t xml:space="preserve">17.3投标人应对 CA 证书妥善保管，如被他人盗用投标，因此带来的结果均由投标人自行承担。</w:t>
      </w:r>
      <w:r/>
    </w:p>
    <w:p>
      <w:pPr>
        <w:pStyle w:val="840"/>
        <w:ind w:firstLine="422"/>
        <w:spacing w:line="360" w:lineRule="auto"/>
        <w:rPr>
          <w:rFonts w:ascii="宋体" w:hAnsi="宋体" w:cs="宋体"/>
          <w:b/>
          <w:color w:val="000000"/>
          <w:szCs w:val="21"/>
        </w:rPr>
      </w:pPr>
      <w:r>
        <w:rPr>
          <w:rFonts w:hint="eastAsia" w:ascii="宋体" w:hAnsi="宋体" w:cs="宋体"/>
          <w:b/>
          <w:color w:val="000000"/>
          <w:szCs w:val="21"/>
        </w:rPr>
        <w:t xml:space="preserve">17.4投标人应当对招标文件提出的要求和条件作出实质性响应，并在电子投标系统逐条应答。</w:t>
      </w:r>
      <w:r/>
    </w:p>
    <w:p>
      <w:pPr>
        <w:pStyle w:val="840"/>
        <w:ind w:firstLine="422"/>
        <w:spacing w:line="360" w:lineRule="auto"/>
        <w:rPr>
          <w:rFonts w:ascii="宋体" w:hAnsi="宋体" w:cs="宋体"/>
          <w:b/>
          <w:color w:val="000000"/>
          <w:szCs w:val="21"/>
        </w:rPr>
      </w:pPr>
      <w:r>
        <w:rPr>
          <w:rFonts w:hint="eastAsia" w:ascii="宋体" w:hAnsi="宋体" w:cs="宋体"/>
          <w:b/>
          <w:color w:val="000000"/>
          <w:szCs w:val="21"/>
        </w:rPr>
        <w:t xml:space="preserve">17.5投标人应对要求提供的资格证明文件（如资质证书、资格证书）、技术资料（如白皮书、彩页、手册、检测报告等）扫描上传至投标系统。</w:t>
      </w:r>
      <w:r/>
    </w:p>
    <w:p>
      <w:pPr>
        <w:pStyle w:val="840"/>
        <w:ind w:firstLine="422"/>
        <w:spacing w:line="360" w:lineRule="auto"/>
        <w:rPr>
          <w:rFonts w:ascii="宋体" w:hAnsi="宋体" w:cs="宋体"/>
          <w:b/>
          <w:color w:val="000000"/>
          <w:szCs w:val="21"/>
        </w:rPr>
      </w:pPr>
      <w:r>
        <w:rPr>
          <w:rFonts w:hint="eastAsia" w:ascii="宋体" w:hAnsi="宋体" w:cs="宋体"/>
          <w:b/>
          <w:color w:val="000000"/>
          <w:szCs w:val="21"/>
        </w:rPr>
        <w:t xml:space="preserve">17.6投标人应当在招标文件要求提交投标文件的截止时间前，将投标文件提交至“苏采云”系统，逾期提交的投标文件，“苏采云”系统将自动拒收。</w:t>
      </w:r>
      <w:r/>
    </w:p>
    <w:p>
      <w:pPr>
        <w:pStyle w:val="840"/>
        <w:ind w:firstLine="422"/>
        <w:spacing w:line="360" w:lineRule="auto"/>
        <w:rPr>
          <w:rFonts w:ascii="宋体" w:hAnsi="宋体" w:cs="宋体"/>
          <w:color w:val="000000"/>
        </w:rPr>
      </w:pPr>
      <w:r>
        <w:rPr>
          <w:rFonts w:hint="eastAsia" w:ascii="宋体" w:hAnsi="宋体" w:cs="宋体"/>
          <w:b/>
          <w:color w:val="000000"/>
          <w:szCs w:val="21"/>
        </w:rPr>
        <w:t xml:space="preserve">17.7各投标人应在规定时间内凭CA证书进行网上解密。</w:t>
      </w:r>
      <w:r/>
    </w:p>
    <w:p>
      <w:pPr>
        <w:pStyle w:val="840"/>
        <w:ind w:firstLine="422"/>
        <w:spacing w:line="360" w:lineRule="auto"/>
        <w:rPr>
          <w:rFonts w:ascii="宋体" w:hAnsi="宋体" w:cs="宋体"/>
          <w:b/>
          <w:szCs w:val="21"/>
        </w:rPr>
      </w:pPr>
      <w:r>
        <w:rPr>
          <w:rFonts w:hint="eastAsia" w:ascii="宋体" w:hAnsi="宋体" w:cs="宋体"/>
          <w:b/>
          <w:szCs w:val="21"/>
        </w:rPr>
        <w:t xml:space="preserve">18、投标截止日期</w:t>
      </w:r>
      <w:bookmarkEnd w:id="19"/>
      <w:r/>
      <w:bookmarkEnd w:id="20"/>
      <w:r/>
      <w:bookmarkEnd w:id="21"/>
      <w:r/>
      <w:r/>
    </w:p>
    <w:p>
      <w:pPr>
        <w:pStyle w:val="840"/>
        <w:ind w:firstLine="420"/>
        <w:spacing w:line="360" w:lineRule="auto"/>
        <w:rPr>
          <w:rFonts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pStyle w:val="840"/>
        <w:ind w:firstLine="420"/>
        <w:spacing w:line="360" w:lineRule="auto"/>
        <w:rPr>
          <w:rFonts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pStyle w:val="840"/>
        <w:ind w:firstLine="420"/>
        <w:spacing w:line="360" w:lineRule="auto"/>
        <w:rPr>
          <w:rFonts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pStyle w:val="840"/>
        <w:ind w:firstLine="422"/>
        <w:spacing w:line="360" w:lineRule="auto"/>
        <w:rPr>
          <w:rFonts w:ascii="宋体" w:hAnsi="宋体" w:cs="宋体"/>
          <w:b/>
          <w:szCs w:val="21"/>
        </w:rPr>
      </w:pPr>
      <w:r/>
      <w:bookmarkStart w:id="22" w:name="_Toc513029227"/>
      <w:r/>
      <w:bookmarkStart w:id="23" w:name="_Toc20823299"/>
      <w:r/>
      <w:bookmarkStart w:id="24" w:name="_Toc16938543"/>
      <w:r>
        <w:rPr>
          <w:rFonts w:hint="eastAsia" w:ascii="宋体" w:hAnsi="宋体" w:cs="宋体"/>
          <w:b/>
          <w:szCs w:val="21"/>
        </w:rPr>
        <w:t xml:space="preserve">19、投标文件</w:t>
      </w:r>
      <w:bookmarkEnd w:id="22"/>
      <w:r/>
      <w:bookmarkEnd w:id="23"/>
      <w:r/>
      <w:bookmarkEnd w:id="24"/>
      <w:r>
        <w:rPr>
          <w:rFonts w:hint="eastAsia" w:ascii="宋体" w:hAnsi="宋体" w:cs="宋体"/>
          <w:b/>
          <w:szCs w:val="21"/>
        </w:rPr>
        <w:t xml:space="preserve">的拒收</w:t>
      </w:r>
      <w:r/>
    </w:p>
    <w:p>
      <w:pPr>
        <w:pStyle w:val="840"/>
        <w:ind w:firstLine="420"/>
        <w:spacing w:line="360" w:lineRule="auto"/>
        <w:rPr>
          <w:rFonts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pStyle w:val="840"/>
        <w:ind w:firstLine="422"/>
        <w:spacing w:line="360" w:lineRule="auto"/>
        <w:rPr>
          <w:rFonts w:ascii="宋体" w:hAnsi="宋体" w:cs="宋体"/>
          <w:b/>
          <w:szCs w:val="21"/>
        </w:rPr>
      </w:pPr>
      <w:r/>
      <w:bookmarkStart w:id="25" w:name="_Toc16938544"/>
      <w:r/>
      <w:bookmarkStart w:id="26" w:name="_Toc513029228"/>
      <w:r/>
      <w:bookmarkStart w:id="27" w:name="_Toc20823300"/>
      <w:r>
        <w:rPr>
          <w:rFonts w:hint="eastAsia" w:ascii="宋体" w:hAnsi="宋体" w:cs="宋体"/>
          <w:b/>
          <w:szCs w:val="21"/>
        </w:rPr>
        <w:t xml:space="preserve">20、投标文件的撤回和修改</w:t>
      </w:r>
      <w:bookmarkEnd w:id="25"/>
      <w:r/>
      <w:bookmarkEnd w:id="26"/>
      <w:r/>
      <w:bookmarkEnd w:id="27"/>
      <w:r/>
      <w:r/>
    </w:p>
    <w:p>
      <w:pPr>
        <w:pStyle w:val="840"/>
        <w:ind w:firstLine="420"/>
        <w:spacing w:line="360" w:lineRule="auto"/>
        <w:rPr>
          <w:rFonts w:ascii="宋体" w:hAnsi="宋体" w:cs="宋体"/>
          <w:bCs/>
          <w:szCs w:val="21"/>
        </w:rPr>
      </w:pPr>
      <w:r>
        <w:rPr>
          <w:rFonts w:hint="eastAsia" w:ascii="宋体" w:hAnsi="宋体" w:cs="宋体"/>
          <w:bCs/>
          <w:szCs w:val="21"/>
        </w:rPr>
        <w:t xml:space="preserve">20.1 投标文件的撤回</w:t>
      </w:r>
      <w:r/>
    </w:p>
    <w:p>
      <w:pPr>
        <w:pStyle w:val="840"/>
        <w:ind w:firstLine="420"/>
        <w:spacing w:line="360" w:lineRule="auto"/>
        <w:rPr>
          <w:rFonts w:ascii="宋体" w:hAnsi="宋体" w:cs="宋体"/>
          <w:bCs/>
          <w:szCs w:val="21"/>
        </w:rPr>
      </w:pPr>
      <w:r>
        <w:rPr>
          <w:rFonts w:hint="eastAsia" w:ascii="宋体" w:hAnsi="宋体" w:cs="宋体"/>
          <w:bCs/>
          <w:szCs w:val="21"/>
        </w:rPr>
        <w:t xml:space="preserve">20.1.1 电子投标文件的撤回</w:t>
      </w:r>
      <w:r/>
    </w:p>
    <w:p>
      <w:pPr>
        <w:pStyle w:val="840"/>
        <w:ind w:firstLine="420"/>
        <w:spacing w:line="360" w:lineRule="auto"/>
        <w:rPr>
          <w:rFonts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pStyle w:val="840"/>
        <w:ind w:firstLine="420"/>
        <w:spacing w:line="360" w:lineRule="auto"/>
        <w:rPr>
          <w:rFonts w:ascii="宋体" w:hAnsi="宋体" w:cs="宋体"/>
          <w:bCs/>
          <w:szCs w:val="21"/>
        </w:rPr>
      </w:pPr>
      <w:r>
        <w:rPr>
          <w:rFonts w:hint="eastAsia" w:ascii="宋体" w:hAnsi="宋体" w:cs="宋体"/>
          <w:bCs/>
          <w:szCs w:val="21"/>
        </w:rPr>
        <w:t xml:space="preserve">20.1.2 投标人撤回电子投标文件，则认为其不再参与本项目投标活动。</w:t>
      </w:r>
      <w:r/>
    </w:p>
    <w:p>
      <w:pPr>
        <w:pStyle w:val="840"/>
        <w:ind w:firstLine="420"/>
        <w:spacing w:line="360" w:lineRule="auto"/>
        <w:rPr>
          <w:rFonts w:ascii="宋体" w:hAnsi="宋体" w:cs="宋体"/>
          <w:bCs/>
          <w:szCs w:val="21"/>
        </w:rPr>
      </w:pPr>
      <w:r>
        <w:rPr>
          <w:rFonts w:hint="eastAsia" w:ascii="宋体" w:hAnsi="宋体" w:cs="宋体"/>
          <w:bCs/>
          <w:szCs w:val="21"/>
        </w:rPr>
        <w:t xml:space="preserve">20.2 投标文件的修改</w:t>
      </w:r>
      <w:r/>
    </w:p>
    <w:p>
      <w:pPr>
        <w:pStyle w:val="840"/>
        <w:ind w:firstLine="420"/>
        <w:spacing w:line="360" w:lineRule="auto"/>
        <w:rPr>
          <w:rFonts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pStyle w:val="840"/>
        <w:ind w:firstLine="420"/>
        <w:spacing w:line="360" w:lineRule="auto"/>
        <w:rPr>
          <w:rFonts w:ascii="宋体" w:hAnsi="宋体" w:cs="宋体"/>
          <w:bCs/>
          <w:szCs w:val="21"/>
        </w:rPr>
      </w:pPr>
      <w:r>
        <w:rPr>
          <w:rFonts w:hint="eastAsia" w:ascii="宋体" w:hAnsi="宋体" w:cs="宋体"/>
          <w:bCs/>
          <w:szCs w:val="21"/>
        </w:rPr>
        <w:t xml:space="preserve">20.3 在投标截止时间之后，投标人不得对其电子投标文件作任何修改。</w:t>
      </w:r>
      <w:r/>
    </w:p>
    <w:p>
      <w:pPr>
        <w:pStyle w:val="840"/>
        <w:ind w:firstLine="420"/>
        <w:spacing w:line="360" w:lineRule="auto"/>
        <w:rPr>
          <w:rFonts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pStyle w:val="840"/>
        <w:ind w:firstLine="422"/>
        <w:spacing w:line="360" w:lineRule="auto"/>
        <w:rPr>
          <w:rFonts w:ascii="宋体" w:hAnsi="宋体" w:cs="宋体"/>
          <w:b/>
          <w:szCs w:val="21"/>
        </w:rPr>
      </w:pPr>
      <w:r>
        <w:rPr>
          <w:rFonts w:hint="eastAsia" w:ascii="宋体" w:hAnsi="宋体" w:cs="宋体"/>
          <w:b/>
          <w:szCs w:val="21"/>
        </w:rPr>
        <w:t xml:space="preserve">21、开标</w:t>
      </w:r>
      <w:r/>
    </w:p>
    <w:p>
      <w:pPr>
        <w:pStyle w:val="840"/>
        <w:ind w:firstLine="420"/>
        <w:spacing w:line="360" w:lineRule="auto"/>
        <w:rPr>
          <w:rFonts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pStyle w:val="840"/>
        <w:ind w:firstLine="420"/>
        <w:spacing w:line="360" w:lineRule="auto"/>
        <w:rPr>
          <w:rFonts w:ascii="宋体" w:hAnsi="宋体" w:cs="宋体"/>
          <w:bCs/>
          <w:szCs w:val="21"/>
        </w:rPr>
      </w:pPr>
      <w:r>
        <w:rPr>
          <w:rFonts w:hint="eastAsia" w:ascii="宋体" w:hAnsi="宋体" w:cs="宋体"/>
          <w:bCs/>
          <w:szCs w:val="21"/>
        </w:rPr>
        <w:t xml:space="preserve">21.2投标人不足3家的，不得开标。</w:t>
      </w:r>
      <w:r/>
    </w:p>
    <w:p>
      <w:pPr>
        <w:pStyle w:val="840"/>
        <w:ind w:firstLine="422"/>
        <w:spacing w:line="360" w:lineRule="auto"/>
        <w:rPr>
          <w:rFonts w:ascii="宋体" w:hAnsi="宋体" w:cs="宋体"/>
          <w:bCs/>
          <w:color w:val="000000"/>
          <w:szCs w:val="21"/>
        </w:rPr>
      </w:pPr>
      <w:r>
        <w:rPr>
          <w:rFonts w:hint="eastAsia" w:ascii="宋体" w:hAnsi="宋体" w:cs="宋体"/>
          <w:b/>
          <w:color w:val="000000"/>
          <w:szCs w:val="21"/>
        </w:rPr>
        <w:t xml:space="preserve">21.3开标仪式由代理机构主持。“政府采购管理交易系统（苏采云）”将自动对项目进行开标，并宣读各投标人的《开标一览表》。</w:t>
      </w:r>
      <w:r/>
    </w:p>
    <w:p>
      <w:pPr>
        <w:pStyle w:val="840"/>
        <w:ind w:firstLine="420"/>
        <w:spacing w:line="360" w:lineRule="auto"/>
        <w:rPr>
          <w:rFonts w:ascii="宋体" w:hAnsi="宋体" w:cs="宋体"/>
          <w:bCs/>
          <w:szCs w:val="21"/>
        </w:rPr>
      </w:pPr>
      <w:r>
        <w:rPr>
          <w:rFonts w:hint="eastAsia" w:ascii="宋体" w:hAnsi="宋体" w:cs="宋体"/>
          <w:bCs/>
          <w:color w:val="000000"/>
          <w:szCs w:val="21"/>
        </w:rPr>
        <w:t xml:space="preserve">21.4投标人在开标过程中涉及到的投标文件解密、开标结</w:t>
      </w:r>
      <w:r>
        <w:rPr>
          <w:rFonts w:hint="eastAsia" w:ascii="宋体" w:hAnsi="宋体" w:cs="宋体"/>
          <w:bCs/>
          <w:szCs w:val="21"/>
        </w:rPr>
        <w:t xml:space="preserve">果确认等工作，应按照《操作手册》规定执行。</w:t>
      </w:r>
      <w:r/>
    </w:p>
    <w:p>
      <w:pPr>
        <w:pStyle w:val="840"/>
        <w:ind w:firstLine="422"/>
        <w:spacing w:line="360" w:lineRule="auto"/>
        <w:rPr>
          <w:rFonts w:ascii="宋体" w:hAnsi="宋体" w:cs="宋体"/>
          <w:b/>
          <w:szCs w:val="21"/>
        </w:rPr>
      </w:pPr>
      <w:r>
        <w:rPr>
          <w:rFonts w:hint="eastAsia" w:ascii="宋体" w:hAnsi="宋体" w:cs="宋体"/>
          <w:b/>
          <w:szCs w:val="21"/>
        </w:rPr>
        <w:t xml:space="preserve">22、评标委员会</w:t>
      </w:r>
      <w:r/>
    </w:p>
    <w:p>
      <w:pPr>
        <w:pStyle w:val="840"/>
        <w:ind w:firstLine="420"/>
        <w:spacing w:line="360" w:lineRule="auto"/>
        <w:rPr>
          <w:rFonts w:ascii="宋体" w:hAnsi="宋体" w:cs="宋体"/>
          <w:bCs/>
          <w:szCs w:val="21"/>
        </w:rPr>
      </w:pPr>
      <w:r>
        <w:rPr>
          <w:rFonts w:hint="eastAsia" w:ascii="宋体" w:hAnsi="宋体" w:cs="宋体"/>
          <w:bCs/>
          <w:szCs w:val="21"/>
        </w:rPr>
        <w:t xml:space="preserve">22.1 开标后，代理机构将立即组织评标委员会（以下简称评委会）进行评标。</w:t>
      </w:r>
      <w:r/>
    </w:p>
    <w:p>
      <w:pPr>
        <w:pStyle w:val="840"/>
        <w:ind w:firstLine="420"/>
        <w:spacing w:line="360" w:lineRule="auto"/>
        <w:rPr>
          <w:rFonts w:ascii="宋体" w:hAnsi="宋体" w:cs="宋体"/>
          <w:bCs/>
          <w:szCs w:val="21"/>
        </w:rPr>
      </w:pPr>
      <w:r>
        <w:rPr>
          <w:rFonts w:hint="eastAsia" w:ascii="宋体" w:hAnsi="宋体" w:cs="宋体"/>
          <w:bCs/>
          <w:szCs w:val="21"/>
        </w:rPr>
        <w:t xml:space="preserve">22.2 评委会由采购人代表和有关技术、经济等方面的专家组成，且人员构成符合政府采购有关规定。</w:t>
      </w:r>
      <w:r/>
    </w:p>
    <w:p>
      <w:pPr>
        <w:pStyle w:val="840"/>
        <w:ind w:firstLine="420"/>
        <w:spacing w:line="360" w:lineRule="auto"/>
        <w:rPr>
          <w:rFonts w:ascii="宋体" w:hAnsi="宋体" w:cs="宋体"/>
          <w:bCs/>
          <w:szCs w:val="21"/>
        </w:rPr>
      </w:pPr>
      <w:r>
        <w:rPr>
          <w:rFonts w:hint="eastAsia" w:ascii="宋体" w:hAnsi="宋体" w:cs="宋体"/>
          <w:bCs/>
          <w:szCs w:val="21"/>
        </w:rPr>
        <w:t xml:space="preserve">22.3评委会独立工作，负责评审所有投标文件并确定中标候选人。</w:t>
      </w:r>
      <w:r/>
    </w:p>
    <w:p>
      <w:pPr>
        <w:pStyle w:val="840"/>
        <w:ind w:firstLine="422"/>
        <w:spacing w:line="360" w:lineRule="auto"/>
        <w:rPr>
          <w:rFonts w:ascii="宋体" w:hAnsi="宋体" w:cs="宋体"/>
          <w:b/>
          <w:szCs w:val="21"/>
        </w:rPr>
      </w:pPr>
      <w:r>
        <w:rPr>
          <w:rFonts w:hint="eastAsia" w:ascii="宋体" w:hAnsi="宋体" w:cs="宋体"/>
          <w:b/>
          <w:szCs w:val="21"/>
        </w:rPr>
        <w:t xml:space="preserve">23、评标过程的保密与公正</w:t>
      </w:r>
      <w:r/>
    </w:p>
    <w:p>
      <w:pPr>
        <w:pStyle w:val="840"/>
        <w:ind w:firstLine="420"/>
        <w:spacing w:line="360" w:lineRule="auto"/>
        <w:rPr>
          <w:rFonts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pStyle w:val="840"/>
        <w:ind w:firstLine="420"/>
        <w:spacing w:line="360" w:lineRule="auto"/>
        <w:rPr>
          <w:rFonts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pStyle w:val="840"/>
        <w:ind w:firstLine="420"/>
        <w:spacing w:line="360" w:lineRule="auto"/>
        <w:rPr>
          <w:rFonts w:ascii="宋体" w:hAnsi="宋体" w:cs="宋体"/>
          <w:bCs/>
          <w:szCs w:val="21"/>
        </w:rPr>
      </w:pPr>
      <w:r>
        <w:rPr>
          <w:rFonts w:hint="eastAsia" w:ascii="宋体" w:hAnsi="宋体" w:cs="宋体"/>
          <w:bCs/>
          <w:szCs w:val="21"/>
        </w:rPr>
        <w:t xml:space="preserve">23.3 在评标期间，代理机构将设专门工作人员与投标人联系。</w:t>
      </w:r>
      <w:r/>
    </w:p>
    <w:p>
      <w:pPr>
        <w:pStyle w:val="840"/>
        <w:ind w:firstLine="420"/>
        <w:spacing w:line="360" w:lineRule="auto"/>
        <w:rPr>
          <w:rFonts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pStyle w:val="840"/>
        <w:ind w:firstLine="420"/>
        <w:spacing w:line="360" w:lineRule="auto"/>
        <w:rPr>
          <w:rFonts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pStyle w:val="840"/>
        <w:ind w:firstLine="422"/>
        <w:spacing w:line="360" w:lineRule="auto"/>
        <w:rPr>
          <w:rFonts w:ascii="宋体" w:hAnsi="宋体" w:cs="宋体"/>
          <w:b/>
          <w:szCs w:val="21"/>
        </w:rPr>
      </w:pPr>
      <w:r>
        <w:rPr>
          <w:rFonts w:hint="eastAsia" w:ascii="宋体" w:hAnsi="宋体" w:cs="宋体"/>
          <w:b/>
          <w:szCs w:val="21"/>
        </w:rPr>
        <w:t xml:space="preserve">24、投标的澄清</w:t>
      </w:r>
      <w:r/>
    </w:p>
    <w:p>
      <w:pPr>
        <w:pStyle w:val="840"/>
        <w:ind w:firstLine="420"/>
        <w:spacing w:line="360" w:lineRule="auto"/>
        <w:rPr>
          <w:rFonts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pStyle w:val="840"/>
        <w:ind w:firstLine="420"/>
        <w:spacing w:line="360" w:lineRule="auto"/>
        <w:rPr>
          <w:rFonts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Style w:val="840"/>
        <w:ind w:firstLine="420"/>
        <w:spacing w:line="360" w:lineRule="auto"/>
        <w:rPr>
          <w:rFonts w:ascii="宋体" w:hAnsi="宋体" w:cs="宋体"/>
          <w:bCs/>
          <w:szCs w:val="21"/>
        </w:rPr>
      </w:pPr>
      <w:r>
        <w:rPr>
          <w:rFonts w:hint="eastAsia" w:ascii="宋体" w:hAnsi="宋体" w:cs="宋体"/>
          <w:bCs/>
          <w:szCs w:val="21"/>
        </w:rPr>
        <w:t xml:space="preserve">24.3 接到评委会澄清要求的投标人如未按规定做出澄清，其风险由投标人自行承担。</w:t>
      </w:r>
      <w:r/>
    </w:p>
    <w:p>
      <w:pPr>
        <w:pStyle w:val="840"/>
        <w:ind w:firstLine="422"/>
        <w:spacing w:line="360" w:lineRule="auto"/>
        <w:rPr>
          <w:rFonts w:ascii="宋体" w:hAnsi="宋体" w:cs="宋体"/>
          <w:b/>
          <w:szCs w:val="21"/>
        </w:rPr>
      </w:pPr>
      <w:r>
        <w:rPr>
          <w:rFonts w:hint="eastAsia" w:ascii="宋体" w:hAnsi="宋体" w:cs="宋体"/>
          <w:b/>
          <w:szCs w:val="21"/>
        </w:rPr>
        <w:t xml:space="preserve">25、对投标文件的初审</w:t>
      </w:r>
      <w:r/>
    </w:p>
    <w:p>
      <w:pPr>
        <w:pStyle w:val="840"/>
        <w:ind w:firstLine="420"/>
        <w:spacing w:line="360" w:lineRule="auto"/>
        <w:rPr>
          <w:rFonts w:ascii="宋体" w:hAnsi="宋体" w:cs="宋体"/>
          <w:bCs/>
          <w:szCs w:val="21"/>
        </w:rPr>
      </w:pPr>
      <w:r>
        <w:rPr>
          <w:rFonts w:hint="eastAsia" w:ascii="宋体" w:hAnsi="宋体" w:cs="宋体"/>
          <w:bCs/>
          <w:szCs w:val="21"/>
        </w:rPr>
        <w:t xml:space="preserve">25.1投标文件初审分为资格审查和符合性审查。</w:t>
      </w:r>
      <w:r/>
    </w:p>
    <w:p>
      <w:pPr>
        <w:pStyle w:val="840"/>
        <w:ind w:firstLine="420"/>
        <w:spacing w:line="360" w:lineRule="auto"/>
        <w:rPr>
          <w:rFonts w:ascii="宋体" w:hAnsi="宋体" w:cs="宋体"/>
          <w:bCs/>
          <w:szCs w:val="21"/>
        </w:rPr>
      </w:pPr>
      <w:r>
        <w:rPr>
          <w:rFonts w:hint="eastAsia" w:ascii="宋体" w:hAnsi="宋体" w:cs="宋体"/>
          <w:bCs/>
          <w:szCs w:val="21"/>
        </w:rPr>
        <w:t xml:space="preserve">25.1.1资格审查：依据法律法规和招标文件的规定，对投标文件中的资格证明文件进行审查。并将审查结论以书面形式向评委会反馈。</w:t>
      </w:r>
      <w:r/>
    </w:p>
    <w:p>
      <w:pPr>
        <w:pStyle w:val="840"/>
        <w:ind w:firstLine="420"/>
        <w:spacing w:line="360" w:lineRule="auto"/>
        <w:rPr>
          <w:rFonts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pStyle w:val="840"/>
        <w:ind w:firstLine="420"/>
        <w:spacing w:line="360" w:lineRule="auto"/>
        <w:rPr>
          <w:rFonts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pStyle w:val="840"/>
        <w:ind w:firstLine="420"/>
        <w:spacing w:line="360" w:lineRule="auto"/>
        <w:rPr>
          <w:rFonts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pStyle w:val="840"/>
        <w:ind w:firstLine="420"/>
        <w:spacing w:line="360" w:lineRule="auto"/>
        <w:rPr>
          <w:rFonts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pStyle w:val="840"/>
        <w:ind w:firstLine="420"/>
        <w:spacing w:line="360" w:lineRule="auto"/>
        <w:rPr>
          <w:rFonts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40"/>
        <w:ind w:firstLine="420"/>
        <w:spacing w:line="360" w:lineRule="auto"/>
        <w:rPr>
          <w:rFonts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pStyle w:val="840"/>
        <w:ind w:firstLine="420"/>
        <w:spacing w:line="360" w:lineRule="auto"/>
        <w:rPr>
          <w:rFonts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pStyle w:val="840"/>
        <w:ind w:firstLine="420"/>
        <w:spacing w:line="360" w:lineRule="auto"/>
        <w:rPr>
          <w:rFonts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pStyle w:val="840"/>
        <w:ind w:firstLine="420"/>
        <w:spacing w:line="360" w:lineRule="auto"/>
        <w:rPr>
          <w:rFonts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pStyle w:val="840"/>
        <w:ind w:firstLine="420"/>
        <w:spacing w:line="360" w:lineRule="auto"/>
        <w:rPr>
          <w:rFonts w:ascii="宋体" w:hAnsi="宋体" w:cs="宋体"/>
          <w:bCs/>
          <w:szCs w:val="21"/>
        </w:rPr>
      </w:pPr>
      <w:r>
        <w:rPr>
          <w:rFonts w:hint="eastAsia" w:ascii="宋体" w:hAnsi="宋体" w:cs="宋体"/>
          <w:bCs/>
          <w:szCs w:val="21"/>
        </w:rPr>
        <w:t xml:space="preserve">（2）大写金额与小写金额不一致的，以大写金额为准。</w:t>
      </w:r>
      <w:r/>
    </w:p>
    <w:p>
      <w:pPr>
        <w:pStyle w:val="840"/>
        <w:ind w:firstLine="420"/>
        <w:spacing w:line="360" w:lineRule="auto"/>
        <w:rPr>
          <w:rFonts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pStyle w:val="840"/>
        <w:ind w:firstLine="420"/>
        <w:spacing w:line="360" w:lineRule="auto"/>
        <w:rPr>
          <w:rFonts w:ascii="宋体" w:hAnsi="宋体" w:cs="宋体"/>
          <w:bCs/>
          <w:szCs w:val="21"/>
        </w:rPr>
      </w:pPr>
      <w:r>
        <w:rPr>
          <w:rFonts w:hint="eastAsia" w:ascii="宋体" w:hAnsi="宋体" w:cs="宋体"/>
          <w:bCs/>
          <w:szCs w:val="21"/>
        </w:rPr>
        <w:t xml:space="preserve">（4）总价金额与按单价汇总金额不一致的，以单价金额计算结果为准。</w:t>
      </w:r>
      <w:r/>
    </w:p>
    <w:p>
      <w:pPr>
        <w:pStyle w:val="840"/>
        <w:ind w:firstLine="420"/>
        <w:spacing w:line="360" w:lineRule="auto"/>
        <w:rPr>
          <w:rFonts w:ascii="宋体" w:hAnsi="宋体" w:cs="宋体"/>
          <w:bCs/>
          <w:szCs w:val="21"/>
        </w:rPr>
      </w:pPr>
      <w:r>
        <w:rPr>
          <w:rFonts w:hint="eastAsia" w:ascii="宋体" w:hAnsi="宋体" w:cs="宋体"/>
          <w:bCs/>
          <w:szCs w:val="21"/>
        </w:rPr>
        <w:t xml:space="preserve">同时出现两种以上错误的，按照前款规定的顺序修正。</w:t>
      </w:r>
      <w:r/>
    </w:p>
    <w:p>
      <w:pPr>
        <w:pStyle w:val="840"/>
        <w:ind w:firstLine="420"/>
        <w:spacing w:line="360" w:lineRule="auto"/>
        <w:rPr>
          <w:rFonts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pStyle w:val="840"/>
        <w:ind w:firstLine="420"/>
        <w:spacing w:line="360" w:lineRule="auto"/>
        <w:rPr>
          <w:rFonts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pStyle w:val="840"/>
        <w:ind w:firstLine="420"/>
        <w:spacing w:line="360" w:lineRule="auto"/>
        <w:rPr>
          <w:rFonts w:ascii="宋体" w:hAnsi="宋体" w:cs="宋体"/>
        </w:rPr>
      </w:pPr>
      <w:r>
        <w:rPr>
          <w:rFonts w:hint="eastAsia" w:ascii="宋体" w:hAnsi="宋体" w:cs="宋体"/>
        </w:rPr>
        <w:t xml:space="preserve">25.7 投标人在开、评标全过程中应保持通讯畅通，并安排专人与代理机构及评委会联系。</w:t>
      </w:r>
      <w:r/>
    </w:p>
    <w:p>
      <w:pPr>
        <w:pStyle w:val="840"/>
        <w:ind w:firstLine="422"/>
        <w:spacing w:line="360" w:lineRule="auto"/>
        <w:rPr>
          <w:rFonts w:ascii="宋体" w:hAnsi="宋体" w:cs="宋体"/>
          <w:b/>
          <w:szCs w:val="21"/>
        </w:rPr>
      </w:pPr>
      <w:r>
        <w:rPr>
          <w:rFonts w:hint="eastAsia" w:ascii="宋体" w:hAnsi="宋体" w:cs="宋体"/>
          <w:b/>
          <w:szCs w:val="21"/>
        </w:rPr>
        <w:t xml:space="preserve">26、无效投标、废标及投标人不足三家的处理</w:t>
      </w:r>
      <w:r/>
    </w:p>
    <w:p>
      <w:pPr>
        <w:pStyle w:val="840"/>
        <w:ind w:firstLine="420"/>
        <w:spacing w:line="360" w:lineRule="auto"/>
        <w:rPr>
          <w:rFonts w:ascii="宋体" w:hAnsi="宋体" w:cs="宋体"/>
          <w:bCs/>
          <w:szCs w:val="21"/>
        </w:rPr>
      </w:pPr>
      <w:r>
        <w:rPr>
          <w:rFonts w:hint="eastAsia" w:ascii="宋体" w:hAnsi="宋体" w:cs="宋体"/>
          <w:bCs/>
          <w:szCs w:val="21"/>
        </w:rPr>
        <w:t xml:space="preserve">26.1无效投标条款</w:t>
      </w:r>
      <w:r/>
    </w:p>
    <w:p>
      <w:pPr>
        <w:pStyle w:val="840"/>
        <w:ind w:firstLine="420"/>
        <w:spacing w:line="360" w:lineRule="auto"/>
        <w:rPr>
          <w:rFonts w:ascii="宋体" w:hAnsi="宋体" w:cs="宋体"/>
          <w:bCs/>
          <w:szCs w:val="21"/>
        </w:rPr>
      </w:pPr>
      <w:r>
        <w:rPr>
          <w:rFonts w:hint="eastAsia" w:ascii="宋体" w:hAnsi="宋体" w:cs="宋体"/>
          <w:bCs/>
          <w:szCs w:val="21"/>
        </w:rPr>
        <w:t xml:space="preserve">26.1.1 投标人未成功解密电子投标文件的。</w:t>
      </w:r>
      <w:r/>
    </w:p>
    <w:p>
      <w:pPr>
        <w:pStyle w:val="840"/>
        <w:ind w:firstLine="420"/>
        <w:spacing w:line="360" w:lineRule="auto"/>
        <w:rPr>
          <w:rFonts w:ascii="宋体" w:hAnsi="宋体" w:cs="宋体"/>
          <w:bCs/>
          <w:szCs w:val="21"/>
        </w:rPr>
      </w:pPr>
      <w:r>
        <w:rPr>
          <w:rFonts w:hint="eastAsia" w:ascii="宋体" w:hAnsi="宋体" w:cs="宋体"/>
          <w:bCs/>
          <w:szCs w:val="21"/>
        </w:rPr>
        <w:t xml:space="preserve">26.1.2 投标人未按照招标文件要求上传电子投标文件的。</w:t>
      </w:r>
      <w:r/>
    </w:p>
    <w:p>
      <w:pPr>
        <w:pStyle w:val="840"/>
        <w:ind w:firstLine="420"/>
        <w:spacing w:line="360" w:lineRule="auto"/>
        <w:rPr>
          <w:rFonts w:ascii="宋体" w:hAnsi="宋体" w:cs="宋体"/>
          <w:bCs/>
          <w:szCs w:val="21"/>
        </w:rPr>
      </w:pPr>
      <w:r>
        <w:rPr>
          <w:rFonts w:hint="eastAsia" w:ascii="宋体" w:hAnsi="宋体" w:cs="宋体"/>
          <w:bCs/>
          <w:szCs w:val="21"/>
        </w:rPr>
        <w:t xml:space="preserve">26.1.3投标人在报价时采用选择性报价的。</w:t>
      </w:r>
      <w:r/>
    </w:p>
    <w:p>
      <w:pPr>
        <w:pStyle w:val="840"/>
        <w:ind w:firstLine="420"/>
        <w:spacing w:line="360" w:lineRule="auto"/>
        <w:rPr>
          <w:rFonts w:ascii="宋体" w:hAnsi="宋体" w:cs="宋体"/>
          <w:bCs/>
          <w:szCs w:val="21"/>
        </w:rPr>
      </w:pPr>
      <w:r>
        <w:rPr>
          <w:rFonts w:hint="eastAsia" w:ascii="宋体" w:hAnsi="宋体" w:cs="宋体"/>
          <w:bCs/>
          <w:szCs w:val="21"/>
        </w:rPr>
        <w:t xml:space="preserve">26.1.4投标人不具备招标文件中规定资格要求的。</w:t>
      </w:r>
      <w:r/>
    </w:p>
    <w:p>
      <w:pPr>
        <w:pStyle w:val="840"/>
        <w:ind w:firstLine="420"/>
        <w:spacing w:line="360" w:lineRule="auto"/>
        <w:rPr>
          <w:rFonts w:ascii="宋体" w:hAnsi="宋体" w:cs="宋体"/>
          <w:bCs/>
          <w:szCs w:val="21"/>
        </w:rPr>
      </w:pPr>
      <w:r>
        <w:rPr>
          <w:rFonts w:hint="eastAsia" w:ascii="宋体" w:hAnsi="宋体" w:cs="宋体"/>
          <w:bCs/>
          <w:szCs w:val="21"/>
        </w:rPr>
        <w:t xml:space="preserve">26.1.5投标人的报价超过了采购预算或最高限价的。</w:t>
      </w:r>
      <w:r/>
    </w:p>
    <w:p>
      <w:pPr>
        <w:pStyle w:val="840"/>
        <w:ind w:firstLine="420"/>
        <w:spacing w:line="360" w:lineRule="auto"/>
        <w:rPr>
          <w:rFonts w:ascii="宋体" w:hAnsi="宋体" w:cs="宋体"/>
          <w:bCs/>
          <w:szCs w:val="21"/>
        </w:rPr>
      </w:pPr>
      <w:r>
        <w:rPr>
          <w:rFonts w:hint="eastAsia" w:ascii="宋体" w:hAnsi="宋体" w:cs="宋体"/>
          <w:bCs/>
          <w:szCs w:val="21"/>
        </w:rPr>
        <w:t xml:space="preserve">26.1.6未通过符合性审查的。</w:t>
      </w:r>
      <w:r/>
    </w:p>
    <w:p>
      <w:pPr>
        <w:pStyle w:val="840"/>
        <w:ind w:firstLine="420"/>
        <w:spacing w:line="360" w:lineRule="auto"/>
        <w:rPr>
          <w:rFonts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pStyle w:val="840"/>
        <w:ind w:firstLine="420"/>
        <w:spacing w:line="360" w:lineRule="auto"/>
        <w:rPr>
          <w:rFonts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40"/>
        <w:ind w:firstLine="420"/>
        <w:spacing w:line="360" w:lineRule="auto"/>
        <w:rPr>
          <w:rFonts w:ascii="宋体" w:hAnsi="宋体" w:cs="宋体"/>
          <w:bCs/>
          <w:szCs w:val="21"/>
        </w:rPr>
      </w:pPr>
      <w:r>
        <w:rPr>
          <w:rFonts w:hint="eastAsia" w:ascii="宋体" w:hAnsi="宋体" w:cs="宋体"/>
          <w:bCs/>
          <w:szCs w:val="21"/>
        </w:rPr>
        <w:t xml:space="preserve">26.1.9  投标文件含有采购人不能接受的附加条件的。</w:t>
      </w:r>
      <w:r/>
    </w:p>
    <w:p>
      <w:pPr>
        <w:pStyle w:val="840"/>
        <w:ind w:firstLine="420"/>
        <w:spacing w:line="360" w:lineRule="auto"/>
        <w:rPr>
          <w:rFonts w:ascii="宋体" w:hAnsi="宋体" w:cs="宋体"/>
          <w:bCs/>
          <w:szCs w:val="21"/>
        </w:rPr>
      </w:pPr>
      <w:r>
        <w:rPr>
          <w:rFonts w:hint="eastAsia" w:ascii="宋体" w:hAnsi="宋体" w:cs="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840"/>
        <w:ind w:firstLine="420"/>
        <w:spacing w:line="360" w:lineRule="auto"/>
        <w:rPr>
          <w:rFonts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w:t>
      </w:r>
      <w:r/>
    </w:p>
    <w:p>
      <w:pPr>
        <w:pStyle w:val="840"/>
        <w:ind w:firstLine="420"/>
        <w:spacing w:line="360" w:lineRule="auto"/>
        <w:rPr>
          <w:rFonts w:ascii="宋体" w:hAnsi="宋体" w:cs="宋体"/>
          <w:bCs/>
          <w:szCs w:val="21"/>
        </w:rPr>
      </w:pPr>
      <w:r>
        <w:rPr>
          <w:rFonts w:hint="eastAsia" w:ascii="宋体" w:hAnsi="宋体" w:cs="宋体"/>
          <w:bCs/>
          <w:szCs w:val="21"/>
        </w:rPr>
        <w:t xml:space="preserve">26.1.12 投标文件未按照招标文件要求加盖电子签章。</w:t>
      </w:r>
      <w:r/>
    </w:p>
    <w:p>
      <w:pPr>
        <w:pStyle w:val="840"/>
        <w:ind w:firstLine="420"/>
        <w:spacing w:line="360" w:lineRule="auto"/>
        <w:rPr>
          <w:rFonts w:ascii="宋体" w:hAnsi="宋体" w:cs="宋体"/>
          <w:bCs/>
          <w:szCs w:val="21"/>
        </w:rPr>
      </w:pPr>
      <w:r>
        <w:rPr>
          <w:rFonts w:hint="eastAsia" w:ascii="宋体" w:hAnsi="宋体" w:cs="宋体"/>
          <w:bCs/>
          <w:szCs w:val="21"/>
        </w:rPr>
        <w:t xml:space="preserve">26.1.13其他法律、法规及本招标文件规定的属无效投标的情形。</w:t>
      </w:r>
      <w:r/>
    </w:p>
    <w:p>
      <w:pPr>
        <w:pStyle w:val="840"/>
        <w:ind w:firstLine="420"/>
        <w:spacing w:line="360" w:lineRule="auto"/>
        <w:rPr>
          <w:rFonts w:ascii="宋体" w:hAnsi="宋体" w:cs="宋体"/>
          <w:bCs/>
          <w:szCs w:val="21"/>
        </w:rPr>
      </w:pPr>
      <w:r>
        <w:rPr>
          <w:rFonts w:hint="eastAsia" w:ascii="宋体" w:hAnsi="宋体" w:cs="宋体"/>
          <w:bCs/>
          <w:szCs w:val="21"/>
        </w:rPr>
        <w:t xml:space="preserve">26.1.14 异常低价投标（响应）</w:t>
      </w:r>
      <w:r/>
    </w:p>
    <w:p>
      <w:pPr>
        <w:pStyle w:val="840"/>
        <w:ind w:firstLine="420"/>
        <w:spacing w:line="360" w:lineRule="auto"/>
        <w:rPr>
          <w:rFonts w:ascii="宋体" w:hAnsi="宋体" w:cs="宋体"/>
          <w:bCs/>
          <w:szCs w:val="21"/>
        </w:rPr>
      </w:pPr>
      <w:r>
        <w:rPr>
          <w:rFonts w:hint="eastAsia" w:ascii="宋体" w:hAnsi="宋体" w:cs="宋体"/>
          <w:bCs/>
          <w:szCs w:val="21"/>
        </w:rPr>
        <w:t xml:space="preserve">投标（响应）报价低于全部通过符合性审查供应商投标（响应）报价平均值50%的，即投标（响应）报价&lt;全部通过符合性审查供应商投标（响应）报价平均值×50%；</w:t>
      </w:r>
      <w:r/>
    </w:p>
    <w:p>
      <w:pPr>
        <w:pStyle w:val="840"/>
        <w:ind w:firstLine="420"/>
        <w:spacing w:line="360" w:lineRule="auto"/>
        <w:rPr>
          <w:rFonts w:ascii="宋体" w:hAnsi="宋体" w:cs="宋体"/>
          <w:bCs/>
          <w:szCs w:val="21"/>
        </w:rPr>
      </w:pPr>
      <w:r>
        <w:rPr>
          <w:rFonts w:hint="eastAsia" w:ascii="宋体" w:hAnsi="宋体" w:cs="宋体"/>
          <w:bCs/>
          <w:szCs w:val="21"/>
        </w:rPr>
        <w:t xml:space="preserve">投标（响应）报价低于通过符合性审查的次低报价供应商投标（响应）报价50%的，即投标（响应）报价&lt;通过符合性审查的次低报价供应商投标（响应）报价×50%；</w:t>
      </w:r>
      <w:r/>
    </w:p>
    <w:p>
      <w:pPr>
        <w:pStyle w:val="840"/>
        <w:ind w:firstLine="420"/>
        <w:spacing w:line="360" w:lineRule="auto"/>
        <w:rPr>
          <w:rFonts w:ascii="宋体" w:hAnsi="宋体" w:cs="宋体"/>
          <w:bCs/>
          <w:szCs w:val="21"/>
        </w:rPr>
      </w:pPr>
      <w:r>
        <w:rPr>
          <w:rFonts w:hint="eastAsia" w:ascii="宋体" w:hAnsi="宋体" w:cs="宋体"/>
          <w:bCs/>
          <w:szCs w:val="21"/>
        </w:rPr>
        <w:t xml:space="preserve">投标（响应）报价低于采购项目最高限价 45% 的，即投标（响应）报价&lt;采购项目最高限价×45% ；</w:t>
      </w:r>
      <w:r/>
    </w:p>
    <w:p>
      <w:pPr>
        <w:pStyle w:val="840"/>
        <w:ind w:firstLine="420"/>
        <w:spacing w:line="360" w:lineRule="auto"/>
        <w:rPr>
          <w:rFonts w:ascii="宋体" w:hAnsi="宋体" w:cs="宋体"/>
          <w:bCs/>
          <w:szCs w:val="21"/>
        </w:rPr>
      </w:pPr>
      <w:r>
        <w:rPr>
          <w:rFonts w:hint="eastAsia" w:ascii="宋体" w:hAnsi="宋体" w:cs="宋体"/>
          <w:bCs/>
          <w:szCs w:val="21"/>
        </w:rPr>
        <w:t xml:space="preserve">评审委员会认定的供应商报价过低、有可能影响产品质量或者不能诚信履约的其他情形。</w:t>
      </w:r>
      <w:r/>
    </w:p>
    <w:p>
      <w:pPr>
        <w:pStyle w:val="840"/>
        <w:ind w:firstLine="420"/>
        <w:spacing w:line="360" w:lineRule="auto"/>
        <w:rPr>
          <w:rFonts w:ascii="宋体" w:hAnsi="宋体" w:cs="宋体"/>
          <w:bCs/>
          <w:szCs w:val="21"/>
        </w:rPr>
      </w:pPr>
      <w:r>
        <w:rPr>
          <w:rFonts w:hint="eastAsia" w:ascii="宋体" w:hAnsi="宋体" w:cs="宋体"/>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0"/>
        <w:ind w:firstLine="420"/>
        <w:spacing w:line="360" w:lineRule="auto"/>
        <w:rPr>
          <w:rFonts w:ascii="宋体" w:hAnsi="宋体" w:cs="宋体"/>
          <w:bCs/>
          <w:szCs w:val="21"/>
        </w:rPr>
      </w:pPr>
      <w:r>
        <w:rPr>
          <w:rFonts w:hint="eastAsia" w:ascii="宋体" w:hAnsi="宋体" w:cs="宋体"/>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0"/>
        <w:ind w:firstLine="420"/>
        <w:spacing w:line="360" w:lineRule="auto"/>
        <w:rPr>
          <w:rFonts w:ascii="宋体" w:hAnsi="宋体" w:cs="宋体"/>
          <w:bCs/>
          <w:szCs w:val="21"/>
        </w:rPr>
      </w:pPr>
      <w:r>
        <w:rPr>
          <w:rFonts w:hint="eastAsia" w:ascii="宋体" w:hAnsi="宋体" w:cs="宋体"/>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0"/>
        <w:ind w:firstLine="420"/>
        <w:spacing w:line="360" w:lineRule="auto"/>
        <w:rPr>
          <w:rFonts w:ascii="宋体" w:hAnsi="宋体" w:cs="宋体"/>
          <w:bCs/>
          <w:szCs w:val="21"/>
        </w:rPr>
      </w:pPr>
      <w:r>
        <w:rPr>
          <w:rFonts w:hint="eastAsia" w:ascii="宋体" w:hAnsi="宋体" w:cs="宋体"/>
          <w:bCs/>
          <w:szCs w:val="21"/>
        </w:rPr>
        <w:t xml:space="preserve">26.2废标条款：</w:t>
      </w:r>
      <w:r/>
    </w:p>
    <w:p>
      <w:pPr>
        <w:pStyle w:val="840"/>
        <w:ind w:firstLine="420"/>
        <w:spacing w:line="360" w:lineRule="auto"/>
        <w:rPr>
          <w:rFonts w:ascii="宋体" w:hAnsi="宋体" w:cs="宋体"/>
          <w:bCs/>
          <w:szCs w:val="21"/>
        </w:rPr>
      </w:pPr>
      <w:r>
        <w:rPr>
          <w:rFonts w:hint="eastAsia" w:ascii="宋体" w:hAnsi="宋体" w:cs="宋体"/>
          <w:bCs/>
          <w:szCs w:val="21"/>
        </w:rPr>
        <w:t xml:space="preserve">26.2.1符合专业条件的供应商或者对招标文件作实质响应的供应商不足三家的。26.2.2出现影响采购公正的违法、违规行为的。</w:t>
      </w:r>
      <w:r/>
    </w:p>
    <w:p>
      <w:pPr>
        <w:pStyle w:val="840"/>
        <w:ind w:firstLine="420"/>
        <w:spacing w:line="360" w:lineRule="auto"/>
        <w:rPr>
          <w:rFonts w:ascii="宋体" w:hAnsi="宋体" w:cs="宋体"/>
          <w:bCs/>
          <w:szCs w:val="21"/>
        </w:rPr>
      </w:pPr>
      <w:r>
        <w:rPr>
          <w:rFonts w:hint="eastAsia" w:ascii="宋体" w:hAnsi="宋体" w:cs="宋体"/>
          <w:bCs/>
          <w:szCs w:val="21"/>
        </w:rPr>
        <w:t xml:space="preserve">26.2.3因重大变故，采购任务取消的。</w:t>
      </w:r>
      <w:r/>
    </w:p>
    <w:p>
      <w:pPr>
        <w:pStyle w:val="840"/>
        <w:ind w:firstLine="420"/>
        <w:spacing w:line="360" w:lineRule="auto"/>
        <w:rPr>
          <w:rFonts w:ascii="宋体" w:hAnsi="宋体" w:cs="宋体"/>
          <w:bCs/>
          <w:szCs w:val="21"/>
        </w:rPr>
      </w:pPr>
      <w:r>
        <w:rPr>
          <w:rFonts w:hint="eastAsia" w:ascii="宋体" w:hAnsi="宋体" w:cs="宋体"/>
          <w:bCs/>
          <w:szCs w:val="21"/>
        </w:rPr>
        <w:t xml:space="preserve">26.2.4评委会认定招标文件存在歧义、重大缺陷导致评审工作无法进行。</w:t>
      </w:r>
      <w:r/>
    </w:p>
    <w:p>
      <w:pPr>
        <w:pStyle w:val="840"/>
        <w:ind w:firstLine="420"/>
        <w:spacing w:line="360" w:lineRule="auto"/>
        <w:rPr>
          <w:rFonts w:ascii="宋体" w:hAnsi="宋体" w:cs="宋体"/>
          <w:bCs/>
          <w:szCs w:val="21"/>
        </w:rPr>
      </w:pPr>
      <w:r>
        <w:rPr>
          <w:rFonts w:hint="eastAsia" w:ascii="宋体" w:hAnsi="宋体" w:cs="宋体"/>
          <w:bCs/>
          <w:szCs w:val="21"/>
        </w:rPr>
        <w:t xml:space="preserve">26.3 投标截止时间结束后参加投标的供应商不足三家的处理：</w:t>
      </w:r>
      <w:r/>
    </w:p>
    <w:p>
      <w:pPr>
        <w:pStyle w:val="840"/>
        <w:ind w:firstLine="420"/>
        <w:spacing w:line="360" w:lineRule="auto"/>
        <w:rPr>
          <w:rFonts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pStyle w:val="840"/>
        <w:ind w:firstLine="422"/>
        <w:spacing w:line="360" w:lineRule="auto"/>
        <w:rPr>
          <w:rFonts w:ascii="宋体" w:hAnsi="宋体" w:cs="宋体"/>
          <w:b/>
          <w:szCs w:val="21"/>
        </w:rPr>
      </w:pPr>
      <w:r>
        <w:rPr>
          <w:rFonts w:hint="eastAsia" w:ascii="宋体" w:hAnsi="宋体" w:cs="宋体"/>
          <w:b/>
          <w:szCs w:val="21"/>
        </w:rPr>
        <w:t xml:space="preserve">27、确定中标单位</w:t>
      </w:r>
      <w:r/>
    </w:p>
    <w:p>
      <w:pPr>
        <w:pStyle w:val="840"/>
        <w:ind w:firstLine="420"/>
        <w:spacing w:line="360" w:lineRule="auto"/>
        <w:rPr>
          <w:rFonts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pStyle w:val="840"/>
        <w:ind w:firstLine="420"/>
        <w:spacing w:line="360" w:lineRule="auto"/>
        <w:rPr>
          <w:rFonts w:ascii="宋体" w:hAnsi="宋体" w:cs="宋体"/>
          <w:bCs/>
          <w:szCs w:val="21"/>
        </w:rPr>
      </w:pPr>
      <w:r>
        <w:rPr>
          <w:rFonts w:hint="eastAsia" w:ascii="宋体" w:hAnsi="宋体" w:cs="宋体"/>
          <w:bCs/>
          <w:szCs w:val="21"/>
        </w:rPr>
        <w:t xml:space="preserve">27.2 采购人应根据评委会推荐的中标候选人确定中标人。</w:t>
      </w:r>
      <w:r/>
    </w:p>
    <w:p>
      <w:pPr>
        <w:pStyle w:val="840"/>
        <w:ind w:firstLine="420"/>
        <w:spacing w:line="360" w:lineRule="auto"/>
        <w:rPr>
          <w:rFonts w:ascii="宋体" w:hAnsi="宋体" w:cs="宋体"/>
          <w:bCs/>
          <w:szCs w:val="21"/>
        </w:rPr>
      </w:pPr>
      <w:r>
        <w:rPr>
          <w:rFonts w:hint="eastAsia" w:ascii="宋体" w:hAnsi="宋体" w:cs="宋体"/>
          <w:bCs/>
          <w:szCs w:val="21"/>
        </w:rPr>
        <w:t xml:space="preserve">27.3代理机构将在“江苏省政府采购网”、“中国政府采购网”发布中标公告，公告期限为1个工作日。</w:t>
      </w:r>
      <w:r/>
    </w:p>
    <w:p>
      <w:pPr>
        <w:pStyle w:val="840"/>
        <w:ind w:firstLine="420"/>
        <w:spacing w:line="360" w:lineRule="auto"/>
        <w:rPr>
          <w:rFonts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pStyle w:val="840"/>
        <w:ind w:firstLine="420"/>
        <w:spacing w:line="360" w:lineRule="auto"/>
        <w:rPr>
          <w:rFonts w:ascii="宋体" w:hAnsi="宋体" w:cs="宋体"/>
          <w:bCs/>
          <w:szCs w:val="21"/>
        </w:rPr>
      </w:pPr>
      <w:r>
        <w:rPr>
          <w:rFonts w:hint="eastAsia" w:ascii="宋体" w:hAnsi="宋体" w:cs="宋体"/>
          <w:bCs/>
          <w:szCs w:val="21"/>
        </w:rPr>
        <w:t xml:space="preserve">27.4.1提供虚假材料谋取中标的；</w:t>
      </w:r>
      <w:r/>
    </w:p>
    <w:p>
      <w:pPr>
        <w:pStyle w:val="840"/>
        <w:ind w:firstLine="420"/>
        <w:spacing w:line="360" w:lineRule="auto"/>
        <w:rPr>
          <w:rFonts w:ascii="宋体" w:hAnsi="宋体" w:cs="宋体"/>
          <w:bCs/>
          <w:szCs w:val="21"/>
        </w:rPr>
      </w:pPr>
      <w:r>
        <w:rPr>
          <w:rFonts w:hint="eastAsia" w:ascii="宋体" w:hAnsi="宋体" w:cs="宋体"/>
          <w:bCs/>
          <w:szCs w:val="21"/>
        </w:rPr>
        <w:t xml:space="preserve">27.4.2向采购人、代理机构行贿或者提供其他不正当利益的；</w:t>
      </w:r>
      <w:r/>
    </w:p>
    <w:p>
      <w:pPr>
        <w:pStyle w:val="840"/>
        <w:ind w:firstLine="420"/>
        <w:spacing w:line="360" w:lineRule="auto"/>
        <w:rPr>
          <w:rFonts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pStyle w:val="840"/>
        <w:ind w:firstLine="420"/>
        <w:spacing w:line="360" w:lineRule="auto"/>
        <w:rPr>
          <w:rFonts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pStyle w:val="840"/>
        <w:ind w:firstLine="420"/>
        <w:spacing w:line="360" w:lineRule="auto"/>
        <w:rPr>
          <w:rFonts w:ascii="宋体" w:hAnsi="宋体" w:cs="宋体"/>
          <w:bCs/>
          <w:szCs w:val="21"/>
        </w:rPr>
      </w:pPr>
      <w:r>
        <w:rPr>
          <w:rFonts w:hint="eastAsia" w:ascii="宋体" w:hAnsi="宋体" w:cs="宋体"/>
          <w:bCs/>
          <w:szCs w:val="21"/>
        </w:rPr>
        <w:t xml:space="preserve">27.4.5与采购人或者其他投标人恶意串通的；</w:t>
      </w:r>
      <w:r/>
    </w:p>
    <w:p>
      <w:pPr>
        <w:pStyle w:val="840"/>
        <w:ind w:firstLine="420"/>
        <w:spacing w:line="360" w:lineRule="auto"/>
        <w:rPr>
          <w:rFonts w:ascii="宋体" w:hAnsi="宋体" w:cs="宋体"/>
          <w:bCs/>
          <w:szCs w:val="21"/>
        </w:rPr>
      </w:pPr>
      <w:r>
        <w:rPr>
          <w:rFonts w:hint="eastAsia" w:ascii="宋体" w:hAnsi="宋体" w:cs="宋体"/>
          <w:bCs/>
          <w:szCs w:val="21"/>
        </w:rPr>
        <w:t xml:space="preserve">27.4.6采取不正当手段诋毁、排挤其他供应商的；</w:t>
      </w:r>
      <w:r/>
    </w:p>
    <w:p>
      <w:pPr>
        <w:pStyle w:val="840"/>
        <w:ind w:firstLine="420"/>
        <w:spacing w:line="360" w:lineRule="auto"/>
        <w:rPr>
          <w:rFonts w:ascii="宋体" w:hAnsi="宋体" w:cs="宋体"/>
          <w:bCs/>
          <w:szCs w:val="21"/>
        </w:rPr>
      </w:pPr>
      <w:r>
        <w:rPr>
          <w:rFonts w:hint="eastAsia" w:ascii="宋体" w:hAnsi="宋体" w:cs="宋体"/>
          <w:bCs/>
          <w:szCs w:val="21"/>
        </w:rPr>
        <w:t xml:space="preserve">27.4.7不符合法律、法规的规定的。</w:t>
      </w:r>
      <w:r/>
    </w:p>
    <w:p>
      <w:pPr>
        <w:pStyle w:val="840"/>
        <w:ind w:firstLine="420"/>
        <w:spacing w:line="360" w:lineRule="auto"/>
        <w:rPr>
          <w:rFonts w:ascii="宋体" w:hAnsi="宋体" w:cs="宋体"/>
          <w:bCs/>
          <w:szCs w:val="21"/>
        </w:rPr>
      </w:pPr>
      <w:r>
        <w:rPr>
          <w:rFonts w:hint="eastAsia" w:ascii="宋体" w:hAnsi="宋体" w:cs="宋体"/>
          <w:bCs/>
          <w:szCs w:val="21"/>
        </w:rPr>
        <w:t xml:space="preserve">27.5. 有下列情形之一的，视为投标人串通投标，投标无效：</w:t>
      </w:r>
      <w:r/>
    </w:p>
    <w:p>
      <w:pPr>
        <w:pStyle w:val="840"/>
        <w:ind w:firstLine="420"/>
        <w:spacing w:line="360" w:lineRule="auto"/>
        <w:rPr>
          <w:rFonts w:ascii="宋体" w:hAnsi="宋体" w:cs="宋体"/>
          <w:bCs/>
          <w:szCs w:val="21"/>
        </w:rPr>
      </w:pPr>
      <w:r>
        <w:rPr>
          <w:rFonts w:hint="eastAsia" w:ascii="宋体" w:hAnsi="宋体" w:cs="宋体"/>
          <w:bCs/>
          <w:szCs w:val="21"/>
        </w:rPr>
        <w:t xml:space="preserve">27.5.1不同投标人的投标文件由同一单位或者个人编制。</w:t>
      </w:r>
      <w:r/>
    </w:p>
    <w:p>
      <w:pPr>
        <w:pStyle w:val="840"/>
        <w:ind w:firstLine="420"/>
        <w:spacing w:line="360" w:lineRule="auto"/>
        <w:rPr>
          <w:rFonts w:ascii="宋体" w:hAnsi="宋体" w:cs="宋体"/>
          <w:bCs/>
          <w:szCs w:val="21"/>
        </w:rPr>
      </w:pPr>
      <w:r>
        <w:rPr>
          <w:rFonts w:hint="eastAsia" w:ascii="宋体" w:hAnsi="宋体" w:cs="宋体"/>
          <w:bCs/>
          <w:szCs w:val="21"/>
        </w:rPr>
        <w:t xml:space="preserve">27.5.2不同投标人委托同一单位或者个人办理投标事宜。</w:t>
      </w:r>
      <w:r/>
    </w:p>
    <w:p>
      <w:pPr>
        <w:pStyle w:val="840"/>
        <w:ind w:firstLine="420"/>
        <w:spacing w:line="360" w:lineRule="auto"/>
        <w:rPr>
          <w:rFonts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pStyle w:val="840"/>
        <w:ind w:firstLine="420"/>
        <w:spacing w:line="360" w:lineRule="auto"/>
        <w:rPr>
          <w:rFonts w:ascii="宋体" w:hAnsi="宋体" w:cs="宋体"/>
          <w:bCs/>
          <w:szCs w:val="21"/>
        </w:rPr>
      </w:pPr>
      <w:r>
        <w:rPr>
          <w:rFonts w:hint="eastAsia" w:ascii="宋体" w:hAnsi="宋体" w:cs="宋体"/>
          <w:bCs/>
          <w:szCs w:val="21"/>
        </w:rPr>
        <w:t xml:space="preserve">27.5.4不同投标人的投标文件异常一致或者投标报价呈规律性差异。</w:t>
      </w:r>
      <w:r/>
    </w:p>
    <w:p>
      <w:pPr>
        <w:pStyle w:val="840"/>
        <w:ind w:firstLine="420"/>
        <w:spacing w:line="360" w:lineRule="auto"/>
        <w:rPr>
          <w:rFonts w:ascii="宋体" w:hAnsi="宋体" w:cs="宋体"/>
          <w:bCs/>
          <w:szCs w:val="21"/>
        </w:rPr>
      </w:pPr>
      <w:r>
        <w:rPr>
          <w:rFonts w:hint="eastAsia" w:ascii="宋体" w:hAnsi="宋体" w:cs="宋体"/>
          <w:bCs/>
          <w:szCs w:val="21"/>
        </w:rPr>
        <w:t xml:space="preserve">27.5.5不同投标人的投标文件相互混装。</w:t>
      </w:r>
      <w:r/>
    </w:p>
    <w:p>
      <w:pPr>
        <w:pStyle w:val="840"/>
        <w:ind w:firstLine="422"/>
        <w:spacing w:line="360" w:lineRule="auto"/>
        <w:rPr>
          <w:rFonts w:ascii="宋体" w:hAnsi="宋体" w:cs="宋体"/>
          <w:b/>
          <w:szCs w:val="21"/>
        </w:rPr>
      </w:pPr>
      <w:r>
        <w:rPr>
          <w:rFonts w:hint="eastAsia" w:ascii="宋体" w:hAnsi="宋体" w:cs="宋体"/>
          <w:b/>
          <w:szCs w:val="21"/>
        </w:rPr>
        <w:t xml:space="preserve">28、质疑处理</w:t>
      </w:r>
      <w:r/>
    </w:p>
    <w:p>
      <w:pPr>
        <w:pStyle w:val="840"/>
        <w:ind w:firstLine="420"/>
        <w:spacing w:line="360" w:lineRule="auto"/>
        <w:rPr>
          <w:rFonts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pStyle w:val="840"/>
        <w:ind w:firstLine="420"/>
        <w:spacing w:line="360" w:lineRule="auto"/>
        <w:rPr>
          <w:rFonts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pStyle w:val="840"/>
        <w:ind w:firstLine="420"/>
        <w:spacing w:line="360" w:lineRule="auto"/>
        <w:rPr>
          <w:rFonts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pStyle w:val="840"/>
        <w:ind w:firstLine="420"/>
        <w:spacing w:line="360" w:lineRule="auto"/>
        <w:rPr>
          <w:rFonts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p>
    <w:p>
      <w:pPr>
        <w:pStyle w:val="840"/>
        <w:ind w:firstLine="420"/>
        <w:spacing w:line="360" w:lineRule="auto"/>
        <w:rPr>
          <w:rFonts w:ascii="宋体" w:hAnsi="宋体" w:cs="宋体"/>
          <w:bCs/>
          <w:szCs w:val="21"/>
        </w:rPr>
      </w:pPr>
      <w:r>
        <w:rPr>
          <w:rFonts w:hint="eastAsia" w:ascii="宋体" w:hAnsi="宋体" w:cs="宋体"/>
          <w:bCs/>
          <w:szCs w:val="21"/>
        </w:rPr>
        <w:t xml:space="preserve">28.2.2对采购过程提出质疑的，为各采购程序环节结束之日起7个工作日内提出。</w:t>
      </w:r>
      <w:r/>
    </w:p>
    <w:p>
      <w:pPr>
        <w:pStyle w:val="840"/>
        <w:ind w:firstLine="420"/>
        <w:spacing w:line="360" w:lineRule="auto"/>
        <w:rPr>
          <w:rFonts w:ascii="宋体" w:hAnsi="宋体" w:cs="宋体"/>
          <w:bCs/>
          <w:szCs w:val="21"/>
        </w:rPr>
      </w:pPr>
      <w:r>
        <w:rPr>
          <w:rFonts w:hint="eastAsia" w:ascii="宋体" w:hAnsi="宋体" w:cs="宋体"/>
          <w:bCs/>
          <w:szCs w:val="21"/>
        </w:rPr>
        <w:t xml:space="preserve">28.2.3对中标结果提出质疑的，为中标结果公告期限届满之日起7个工作日内提出。</w:t>
      </w:r>
      <w:r/>
    </w:p>
    <w:p>
      <w:pPr>
        <w:pStyle w:val="840"/>
        <w:ind w:firstLine="420"/>
        <w:spacing w:line="360" w:lineRule="auto"/>
        <w:rPr>
          <w:rFonts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pStyle w:val="840"/>
        <w:ind w:firstLine="420"/>
        <w:spacing w:line="360" w:lineRule="auto"/>
        <w:rPr>
          <w:rFonts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pStyle w:val="840"/>
        <w:ind w:firstLine="420"/>
        <w:spacing w:line="360" w:lineRule="auto"/>
        <w:rPr>
          <w:rFonts w:ascii="宋体" w:hAnsi="宋体" w:cs="宋体"/>
          <w:bCs/>
          <w:szCs w:val="21"/>
        </w:rPr>
      </w:pPr>
      <w:r>
        <w:rPr>
          <w:rFonts w:hint="eastAsia" w:ascii="宋体" w:hAnsi="宋体" w:cs="宋体"/>
          <w:bCs/>
          <w:szCs w:val="21"/>
        </w:rPr>
        <w:t xml:space="preserve">28.5 代理机构及采购人只接收以纸质原件形式送达的质疑。</w:t>
      </w:r>
      <w:r/>
    </w:p>
    <w:p>
      <w:pPr>
        <w:pStyle w:val="840"/>
        <w:ind w:firstLine="420"/>
        <w:spacing w:line="360" w:lineRule="auto"/>
        <w:rPr>
          <w:rFonts w:ascii="宋体" w:hAnsi="宋体" w:cs="宋体"/>
          <w:bCs/>
          <w:szCs w:val="21"/>
        </w:rPr>
      </w:pPr>
      <w:r>
        <w:rPr>
          <w:rFonts w:hint="eastAsia" w:ascii="宋体" w:hAnsi="宋体" w:cs="宋体"/>
          <w:bCs/>
          <w:szCs w:val="21"/>
        </w:rPr>
        <w:t xml:space="preserve">采购人质疑接收人及联系方式见招标文件第一章。</w:t>
      </w:r>
      <w:r/>
    </w:p>
    <w:p>
      <w:pPr>
        <w:pStyle w:val="840"/>
        <w:ind w:firstLine="420"/>
        <w:spacing w:line="360" w:lineRule="auto"/>
        <w:rPr>
          <w:rFonts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pStyle w:val="840"/>
        <w:ind w:firstLine="420"/>
        <w:spacing w:line="360" w:lineRule="auto"/>
        <w:rPr>
          <w:rFonts w:ascii="宋体" w:hAnsi="宋体" w:cs="宋体"/>
          <w:bCs/>
          <w:szCs w:val="21"/>
        </w:rPr>
      </w:pPr>
      <w:r>
        <w:rPr>
          <w:rFonts w:hint="eastAsia" w:ascii="宋体" w:hAnsi="宋体" w:cs="宋体"/>
          <w:bCs/>
          <w:szCs w:val="21"/>
        </w:rPr>
        <w:t xml:space="preserve">28.7质疑人应当在法定质疑期限内进行补正并重新提交质疑函。</w:t>
      </w:r>
      <w:r/>
    </w:p>
    <w:p>
      <w:pPr>
        <w:pStyle w:val="840"/>
        <w:ind w:firstLine="420"/>
        <w:spacing w:line="360" w:lineRule="auto"/>
        <w:rPr>
          <w:rFonts w:ascii="宋体" w:hAnsi="宋体" w:cs="宋体"/>
          <w:bCs/>
          <w:szCs w:val="21"/>
        </w:rPr>
      </w:pPr>
      <w:r>
        <w:rPr>
          <w:rFonts w:hint="eastAsia" w:ascii="宋体" w:hAnsi="宋体" w:cs="宋体"/>
          <w:bCs/>
          <w:szCs w:val="21"/>
        </w:rPr>
        <w:t xml:space="preserve">28.8 以下情形的质疑不予受理</w:t>
      </w:r>
      <w:r/>
    </w:p>
    <w:p>
      <w:pPr>
        <w:pStyle w:val="840"/>
        <w:ind w:firstLine="420"/>
        <w:spacing w:line="360" w:lineRule="auto"/>
        <w:rPr>
          <w:rFonts w:ascii="宋体" w:hAnsi="宋体" w:cs="宋体"/>
          <w:bCs/>
          <w:szCs w:val="21"/>
        </w:rPr>
      </w:pPr>
      <w:r>
        <w:rPr>
          <w:rFonts w:hint="eastAsia" w:ascii="宋体" w:hAnsi="宋体" w:cs="宋体"/>
          <w:bCs/>
          <w:szCs w:val="21"/>
        </w:rPr>
        <w:t xml:space="preserve">28.8.1 内容不符合《政府采购质疑和投诉办法》第十二条规定的质疑。</w:t>
      </w:r>
      <w:r/>
    </w:p>
    <w:p>
      <w:pPr>
        <w:pStyle w:val="840"/>
        <w:ind w:firstLine="420"/>
        <w:spacing w:line="360" w:lineRule="auto"/>
        <w:rPr>
          <w:rFonts w:ascii="宋体" w:hAnsi="宋体" w:cs="宋体"/>
          <w:bCs/>
          <w:szCs w:val="21"/>
        </w:rPr>
      </w:pPr>
      <w:r>
        <w:rPr>
          <w:rFonts w:hint="eastAsia" w:ascii="宋体" w:hAnsi="宋体" w:cs="宋体"/>
          <w:bCs/>
          <w:szCs w:val="21"/>
        </w:rPr>
        <w:t xml:space="preserve">28.8.2 超出政府采购法定期限的质疑。</w:t>
      </w:r>
      <w:r/>
    </w:p>
    <w:p>
      <w:pPr>
        <w:pStyle w:val="840"/>
        <w:ind w:firstLine="420"/>
        <w:spacing w:line="360" w:lineRule="auto"/>
        <w:rPr>
          <w:rFonts w:ascii="宋体" w:hAnsi="宋体" w:cs="宋体"/>
          <w:bCs/>
          <w:szCs w:val="21"/>
        </w:rPr>
      </w:pPr>
      <w:r>
        <w:rPr>
          <w:rFonts w:hint="eastAsia" w:ascii="宋体" w:hAnsi="宋体" w:cs="宋体"/>
          <w:bCs/>
          <w:szCs w:val="21"/>
        </w:rPr>
        <w:t xml:space="preserve">28.8.3 以传真、电子邮件等方式递交的非原件形式的质疑。</w:t>
      </w:r>
      <w:r/>
    </w:p>
    <w:p>
      <w:pPr>
        <w:pStyle w:val="840"/>
        <w:ind w:firstLine="420"/>
        <w:spacing w:line="360" w:lineRule="auto"/>
        <w:rPr>
          <w:rFonts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pStyle w:val="840"/>
        <w:ind w:firstLine="420"/>
        <w:spacing w:line="360" w:lineRule="auto"/>
        <w:rPr>
          <w:rFonts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pStyle w:val="840"/>
        <w:ind w:firstLine="420"/>
        <w:spacing w:line="360" w:lineRule="auto"/>
        <w:rPr>
          <w:rFonts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840"/>
        <w:ind w:firstLine="420"/>
        <w:spacing w:line="360" w:lineRule="auto"/>
        <w:rPr>
          <w:rFonts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pStyle w:val="840"/>
        <w:ind w:firstLine="422"/>
        <w:spacing w:line="360" w:lineRule="auto"/>
        <w:rPr>
          <w:rFonts w:ascii="宋体" w:hAnsi="宋体" w:cs="宋体"/>
          <w:b/>
          <w:szCs w:val="21"/>
        </w:rPr>
      </w:pPr>
      <w:r>
        <w:rPr>
          <w:rFonts w:hint="eastAsia" w:ascii="宋体" w:hAnsi="宋体" w:cs="宋体"/>
          <w:b/>
          <w:szCs w:val="21"/>
        </w:rPr>
        <w:t xml:space="preserve">29、中标通知书</w:t>
      </w:r>
      <w:r/>
    </w:p>
    <w:p>
      <w:pPr>
        <w:pStyle w:val="840"/>
        <w:ind w:firstLine="420"/>
        <w:spacing w:line="360" w:lineRule="auto"/>
        <w:rPr>
          <w:rFonts w:ascii="宋体" w:hAnsi="宋体" w:cs="宋体"/>
          <w:bCs/>
          <w:szCs w:val="21"/>
        </w:rPr>
      </w:pPr>
      <w:r>
        <w:rPr>
          <w:rFonts w:hint="eastAsia" w:ascii="宋体" w:hAnsi="宋体" w:cs="宋体"/>
          <w:bCs/>
          <w:szCs w:val="21"/>
        </w:rPr>
        <w:t xml:space="preserve">29.l 中标结果确定后，代理机构将向中标人发出中标通知书。</w:t>
      </w:r>
      <w:r/>
    </w:p>
    <w:p>
      <w:pPr>
        <w:pStyle w:val="840"/>
        <w:ind w:firstLine="420"/>
        <w:spacing w:line="360" w:lineRule="auto"/>
        <w:rPr>
          <w:rFonts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p>
    <w:p>
      <w:pPr>
        <w:pStyle w:val="840"/>
        <w:ind w:firstLine="420"/>
        <w:spacing w:line="360" w:lineRule="auto"/>
        <w:rPr>
          <w:rFonts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840"/>
        <w:ind w:firstLine="422"/>
        <w:spacing w:line="360" w:lineRule="auto"/>
        <w:rPr>
          <w:rFonts w:ascii="宋体" w:hAnsi="宋体" w:cs="宋体"/>
          <w:b/>
          <w:szCs w:val="21"/>
        </w:rPr>
      </w:pPr>
      <w:r>
        <w:rPr>
          <w:rFonts w:hint="eastAsia" w:ascii="宋体" w:hAnsi="宋体" w:cs="宋体"/>
          <w:b/>
          <w:szCs w:val="21"/>
        </w:rPr>
        <w:t xml:space="preserve">30、签订合同</w:t>
      </w:r>
      <w:r/>
    </w:p>
    <w:p>
      <w:pPr>
        <w:pStyle w:val="840"/>
        <w:ind w:firstLine="420"/>
        <w:spacing w:line="360" w:lineRule="auto"/>
        <w:rPr>
          <w:rFonts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pStyle w:val="840"/>
        <w:ind w:firstLine="420"/>
        <w:spacing w:line="360" w:lineRule="auto"/>
        <w:rPr>
          <w:rFonts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pStyle w:val="840"/>
        <w:ind w:firstLine="420"/>
        <w:spacing w:line="360" w:lineRule="auto"/>
        <w:rPr>
          <w:rFonts w:ascii="宋体" w:hAnsi="宋体" w:cs="宋体"/>
          <w:bCs/>
          <w:szCs w:val="21"/>
        </w:rPr>
      </w:pPr>
      <w:r>
        <w:rPr>
          <w:rFonts w:hint="eastAsia" w:ascii="宋体" w:hAnsi="宋体" w:cs="宋体"/>
          <w:bCs/>
          <w:szCs w:val="21"/>
        </w:rPr>
        <w:t xml:space="preserve">30.</w:t>
      </w:r>
      <w:r>
        <w:rPr>
          <w:rFonts w:ascii="宋体" w:hAnsi="宋体" w:cs="宋体"/>
          <w:bCs/>
          <w:szCs w:val="21"/>
        </w:rPr>
        <w:t xml:space="preserve">3</w:t>
      </w:r>
      <w:r>
        <w:rPr>
          <w:rFonts w:hint="eastAsia" w:ascii="宋体" w:hAnsi="宋体" w:cs="宋体"/>
          <w:bCs/>
          <w:szCs w:val="21"/>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pStyle w:val="840"/>
        <w:ind w:firstLine="420"/>
        <w:spacing w:line="360" w:lineRule="auto"/>
        <w:rPr>
          <w:rFonts w:ascii="宋体" w:hAnsi="宋体" w:cs="宋体"/>
          <w:bCs/>
          <w:szCs w:val="21"/>
          <w:highlight w:val="yellow"/>
        </w:rPr>
      </w:pPr>
      <w:r>
        <w:rPr>
          <w:rFonts w:ascii="宋体" w:hAnsi="宋体" w:cs="宋体"/>
          <w:bCs/>
          <w:szCs w:val="21"/>
          <w:highlight w:val="yellow"/>
        </w:rPr>
      </w:r>
      <w:r/>
    </w:p>
    <w:p>
      <w:pPr>
        <w:pStyle w:val="1014"/>
        <w:jc w:val="center"/>
        <w:rPr>
          <w:rFonts w:ascii="宋体" w:hAnsi="宋体"/>
          <w:sz w:val="36"/>
        </w:rPr>
      </w:pPr>
      <w:r>
        <w:rPr>
          <w:rFonts w:ascii="宋体" w:hAnsi="宋体"/>
          <w:sz w:val="36"/>
        </w:rPr>
        <w:br w:type="page" w:clear="all"/>
      </w:r>
      <w:r>
        <w:rPr>
          <w:rFonts w:ascii="宋体" w:hAnsi="宋体"/>
          <w:sz w:val="36"/>
        </w:rPr>
        <w:t xml:space="preserve">第三章 合同条款及格式</w:t>
      </w:r>
      <w:bookmarkEnd w:id="14"/>
      <w:r/>
      <w:r/>
    </w:p>
    <w:p>
      <w:pPr>
        <w:pStyle w:val="809"/>
      </w:pPr>
      <w:r>
        <w:rPr>
          <w:rFonts w:hint="eastAsia"/>
        </w:rPr>
        <w:t xml:space="preserve">项目名称：                       </w:t>
      </w:r>
      <w:r/>
    </w:p>
    <w:p>
      <w:pPr>
        <w:pStyle w:val="809"/>
      </w:pPr>
      <w:r>
        <w:rPr>
          <w:rFonts w:hint="eastAsia"/>
        </w:rPr>
        <w:t xml:space="preserve">编号：</w:t>
      </w:r>
      <w:r/>
    </w:p>
    <w:p>
      <w:pPr>
        <w:pStyle w:val="809"/>
      </w:pPr>
      <w:r>
        <w:rPr>
          <w:rFonts w:hint="eastAsia"/>
        </w:rPr>
        <w:t xml:space="preserve">甲方（采购人/买方）：       </w:t>
      </w:r>
      <w:r/>
    </w:p>
    <w:p>
      <w:pPr>
        <w:pStyle w:val="809"/>
      </w:pPr>
      <w:r>
        <w:rPr>
          <w:rFonts w:hint="eastAsia"/>
        </w:rPr>
        <w:t xml:space="preserve">乙方（供应商/卖方）：              </w:t>
      </w:r>
      <w:r/>
    </w:p>
    <w:p>
      <w:pPr>
        <w:pStyle w:val="809"/>
      </w:pPr>
      <w:r>
        <w:rPr>
          <w:rFonts w:hint="eastAsia"/>
        </w:rPr>
        <w:t xml:space="preserve">见证方：江苏唯诚建设咨询有限公司</w:t>
      </w:r>
      <w:r/>
    </w:p>
    <w:p>
      <w:pPr>
        <w:pStyle w:val="809"/>
      </w:pPr>
      <w:r>
        <w:rPr>
          <w:rFonts w:hint="eastAsia"/>
        </w:rPr>
        <w:t xml:space="preserve">根据《中华人民共和国政府采购法》、《中华人民共和国民法典》等法律法规的规定，甲乙双方按照江苏唯诚建设咨询有限公司关于本项目招标结果签订本合同。</w:t>
      </w:r>
      <w:r/>
    </w:p>
    <w:p>
      <w:pPr>
        <w:pStyle w:val="809"/>
      </w:pPr>
      <w:r>
        <w:rPr>
          <w:rFonts w:hint="eastAsia"/>
        </w:rPr>
        <w:t xml:space="preserve">  </w:t>
      </w:r>
      <w:r>
        <w:t xml:space="preserve">1、合同标的</w:t>
      </w:r>
      <w:r/>
    </w:p>
    <w:p>
      <w:pPr>
        <w:pStyle w:val="809"/>
      </w:pPr>
      <w:r>
        <w:t xml:space="preserve">乙方根据甲方需求，提供</w:t>
      </w:r>
      <w:r>
        <w:rPr>
          <w:u w:val="single"/>
        </w:rPr>
        <w:t xml:space="preserve">线上“智能石化工厂”</w:t>
      </w:r>
      <w:r>
        <w:t xml:space="preserve">。</w:t>
      </w:r>
      <w:r/>
    </w:p>
    <w:p>
      <w:pPr>
        <w:pStyle w:val="809"/>
      </w:pPr>
      <w:r>
        <w:rPr>
          <w:rFonts w:hint="eastAsia"/>
        </w:rPr>
        <w:t xml:space="preserve">标的</w:t>
      </w:r>
      <w:r>
        <w:t xml:space="preserve">内容等要求详见</w:t>
      </w:r>
      <w:r>
        <w:rPr>
          <w:rFonts w:hint="eastAsia"/>
        </w:rPr>
        <w:t xml:space="preserve">招标</w:t>
      </w:r>
      <w:r>
        <w:t xml:space="preserve">文件及响应文件。</w:t>
      </w:r>
      <w:r/>
    </w:p>
    <w:p>
      <w:pPr>
        <w:pStyle w:val="809"/>
      </w:pPr>
      <w:r>
        <w:t xml:space="preserve">2、合同总金额</w:t>
      </w:r>
      <w:r/>
    </w:p>
    <w:p>
      <w:pPr>
        <w:pStyle w:val="809"/>
      </w:pPr>
      <w:r>
        <w:t xml:space="preserve">2.1 本合同金额为（大写）：</w:t>
      </w:r>
      <w:r>
        <w:rPr>
          <w:u w:val="single"/>
        </w:rPr>
        <w:t xml:space="preserve">           </w:t>
      </w:r>
      <w:r>
        <w:t xml:space="preserve">元人民币（¥</w:t>
      </w:r>
      <w:r>
        <w:rPr>
          <w:u w:val="single"/>
        </w:rPr>
        <w:t xml:space="preserve">           </w:t>
      </w:r>
      <w:r>
        <w:t xml:space="preserve">元）。</w:t>
      </w:r>
      <w:r/>
    </w:p>
    <w:p>
      <w:pPr>
        <w:pStyle w:val="809"/>
      </w:pPr>
      <w:r>
        <w:t xml:space="preserve">2.2 本合同总金额包括乙方提供的服务及其他有关的为完成本项目发生的所有费用，</w:t>
      </w:r>
      <w:r>
        <w:rPr>
          <w:rFonts w:hint="eastAsia"/>
        </w:rPr>
        <w:t xml:space="preserve">招标</w:t>
      </w:r>
      <w:r>
        <w:t xml:space="preserve">文件中另有规定的除外。</w:t>
      </w:r>
      <w:r/>
    </w:p>
    <w:p>
      <w:pPr>
        <w:pStyle w:val="809"/>
      </w:pPr>
      <w:r>
        <w:t xml:space="preserve">2.3 在</w:t>
      </w:r>
      <w:r>
        <w:rPr>
          <w:rFonts w:hint="eastAsia"/>
        </w:rPr>
        <w:t xml:space="preserve">招标</w:t>
      </w:r>
      <w:r>
        <w:t xml:space="preserve">文件未列明，而乙方认为履行本合同必需的费用也包含在合同总金额中。</w:t>
      </w:r>
      <w:r/>
    </w:p>
    <w:p>
      <w:pPr>
        <w:pStyle w:val="809"/>
      </w:pPr>
      <w:r>
        <w:t xml:space="preserve">2.4 本合同总金额还包含乙方提供的伴随服务/售后服务费用。</w:t>
      </w:r>
      <w:r/>
    </w:p>
    <w:p>
      <w:pPr>
        <w:pStyle w:val="809"/>
      </w:pPr>
      <w: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w:t>
      </w:r>
      <w:r>
        <w:rPr>
          <w:rFonts w:hint="eastAsia"/>
        </w:rPr>
        <w:t xml:space="preserve">招标</w:t>
      </w:r>
      <w:r>
        <w:t xml:space="preserve">采购时的价格水平做相应的调减，并据此签订补充合同；除上述情况外，本合同执行期间合同总金额不变。</w:t>
      </w:r>
      <w:r/>
    </w:p>
    <w:p>
      <w:pPr>
        <w:pStyle w:val="809"/>
      </w:pPr>
      <w:r>
        <w:t xml:space="preserve">3、组成本合同的有关文件</w:t>
      </w:r>
      <w:r/>
    </w:p>
    <w:p>
      <w:pPr>
        <w:pStyle w:val="809"/>
      </w:pPr>
      <w:r>
        <w:t xml:space="preserve">3.1乙方应按</w:t>
      </w:r>
      <w:r>
        <w:rPr>
          <w:rFonts w:hint="eastAsia"/>
        </w:rPr>
        <w:t xml:space="preserve">招标</w:t>
      </w:r>
      <w:r>
        <w:t xml:space="preserve">文件规定的时间向甲方提供服务的有关技术资料。</w:t>
      </w:r>
      <w:r/>
    </w:p>
    <w:p>
      <w:pPr>
        <w:pStyle w:val="809"/>
      </w:pPr>
      <w: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09"/>
      </w:pPr>
      <w:r>
        <w:t xml:space="preserve">3.3 关于本项目政府采购的</w:t>
      </w:r>
      <w:r>
        <w:rPr>
          <w:rFonts w:hint="eastAsia"/>
        </w:rPr>
        <w:t xml:space="preserve">招标</w:t>
      </w:r>
      <w:r>
        <w:t xml:space="preserve">文件、响应文件以及与本次采购活动方式相适应的文件及有关附件是本合同不可分割的组成部分，这些文件包括但不限于：</w:t>
      </w:r>
      <w:r/>
    </w:p>
    <w:p>
      <w:pPr>
        <w:pStyle w:val="809"/>
      </w:pPr>
      <w:r>
        <w:t xml:space="preserve">   （1）</w:t>
      </w:r>
      <w:r>
        <w:rPr>
          <w:rFonts w:hint="eastAsia"/>
        </w:rPr>
        <w:t xml:space="preserve">投标</w:t>
      </w:r>
      <w:r>
        <w:t xml:space="preserve">响应文件；               （2）报价文件；</w:t>
      </w:r>
      <w:r/>
    </w:p>
    <w:p>
      <w:pPr>
        <w:pStyle w:val="809"/>
      </w:pPr>
      <w:r>
        <w:t xml:space="preserve">   （3）项目组人员表                 （4）技术参数、商务条款响应及偏离表；</w:t>
      </w:r>
      <w:r/>
    </w:p>
    <w:p>
      <w:pPr>
        <w:pStyle w:val="809"/>
      </w:pPr>
      <w:r>
        <w:t xml:space="preserve">   （5）服务承诺；                   （6）</w:t>
      </w:r>
      <w:r>
        <w:rPr>
          <w:rFonts w:hint="eastAsia"/>
        </w:rPr>
        <w:t xml:space="preserve">中标</w:t>
      </w:r>
      <w:r>
        <w:t xml:space="preserve">通知书；</w:t>
      </w:r>
      <w:r/>
    </w:p>
    <w:p>
      <w:pPr>
        <w:pStyle w:val="809"/>
      </w:pPr>
      <w:r>
        <w:t xml:space="preserve">   （7）甲乙双方补充协议；           （8）乙方参加</w:t>
      </w:r>
      <w:r>
        <w:rPr>
          <w:rFonts w:hint="eastAsia"/>
        </w:rPr>
        <w:t xml:space="preserve">投标</w:t>
      </w:r>
      <w:r>
        <w:t xml:space="preserve">时提供的响应文件。</w:t>
      </w:r>
      <w:r/>
    </w:p>
    <w:p>
      <w:pPr>
        <w:pStyle w:val="809"/>
      </w:pPr>
      <w:r>
        <w:t xml:space="preserve">4、知识产权保证</w:t>
      </w:r>
      <w:r/>
    </w:p>
    <w:p>
      <w:r>
        <w:rPr>
          <w:rFonts w:hint="eastAsia"/>
        </w:rPr>
        <w:t xml:space="preserve">乙方保证甲方在使用、接受本合同服务或其任何一部分时，不受第三方提出侵犯其专利权、版权、商标权和工业设计权等知识产权的起诉。一旦出现侵权，由乙方负全部责任。</w:t>
      </w:r>
      <w:r/>
    </w:p>
    <w:p>
      <w:pPr>
        <w:pStyle w:val="809"/>
      </w:pPr>
      <w:r>
        <w:t xml:space="preserve">5、产权保证</w:t>
      </w:r>
      <w:r/>
    </w:p>
    <w:p>
      <w:r>
        <w:rPr>
          <w:rFonts w:hint="eastAsia"/>
        </w:rPr>
        <w:t xml:space="preserve">乙方保证所交付的服务和服务所涉及的物品所有权无任何抵押、查封等权利瑕疵。</w:t>
      </w:r>
      <w:r/>
    </w:p>
    <w:p>
      <w:pPr>
        <w:pStyle w:val="809"/>
      </w:pPr>
      <w:r>
        <w:t xml:space="preserve">6、履约保证金</w:t>
      </w:r>
      <w:r/>
    </w:p>
    <w:p>
      <w:pPr>
        <w:pStyle w:val="809"/>
        <w:outlineLvl w:val="9"/>
      </w:pPr>
      <w:r>
        <w:t xml:space="preserve">6.</w:t>
      </w:r>
      <w:r>
        <w:rPr>
          <w:rFonts w:hint="eastAsia"/>
        </w:rPr>
        <w:t xml:space="preserve">1</w:t>
      </w:r>
      <w:r>
        <w:t xml:space="preserve"> </w:t>
      </w:r>
      <w:r>
        <w:rPr>
          <w:rFonts w:hint="eastAsia"/>
        </w:rPr>
        <w:t xml:space="preserve">收取的履约保证金金额为合同金额的10％；</w:t>
      </w:r>
      <w:r/>
    </w:p>
    <w:p>
      <w:pPr>
        <w:pStyle w:val="809"/>
        <w:outlineLvl w:val="9"/>
      </w:pPr>
      <w:r>
        <w:t xml:space="preserve">6.</w:t>
      </w:r>
      <w:r>
        <w:rPr>
          <w:rFonts w:hint="eastAsia"/>
        </w:rPr>
        <w:t xml:space="preserve">2</w:t>
      </w:r>
      <w:r>
        <w:t xml:space="preserve"> </w:t>
      </w:r>
      <w:r>
        <w:rPr>
          <w:rFonts w:hint="eastAsia"/>
        </w:rPr>
        <w:t xml:space="preserve">履约保证金允许乙方自主选择支票、汇票、本票、保函等非现金形式缴纳或提交。</w:t>
      </w:r>
      <w:r/>
    </w:p>
    <w:p>
      <w:pPr>
        <w:pStyle w:val="809"/>
        <w:outlineLvl w:val="9"/>
      </w:pPr>
      <w:r>
        <w:t xml:space="preserve">6.</w:t>
      </w:r>
      <w:r>
        <w:rPr>
          <w:rFonts w:hint="eastAsia"/>
        </w:rPr>
        <w:t xml:space="preserve">3</w:t>
      </w:r>
      <w:r>
        <w:t xml:space="preserve"> </w:t>
      </w:r>
      <w:r>
        <w:rPr>
          <w:rFonts w:hint="eastAsia"/>
        </w:rPr>
        <w:t xml:space="preserve">履约保证金的退还：乙方凭甲方签署的验收报告，至甲方处办理履约保证金退还手续，乙方递交材料后1</w:t>
      </w:r>
      <w:r>
        <w:t xml:space="preserve">5</w:t>
      </w:r>
      <w:r>
        <w:rPr>
          <w:rFonts w:hint="eastAsia"/>
        </w:rPr>
        <w:t xml:space="preserve">日内甲方无息退还履约保证金，甲方逾期未退还履约保证金，应当按照银行同期借款利息偿还。</w:t>
      </w:r>
      <w:r/>
    </w:p>
    <w:p>
      <w:pPr>
        <w:pStyle w:val="809"/>
        <w:outlineLvl w:val="9"/>
      </w:pPr>
      <w:r>
        <w:t xml:space="preserve">6.</w:t>
      </w:r>
      <w:r>
        <w:rPr>
          <w:rFonts w:hint="eastAsia"/>
        </w:rPr>
        <w:t xml:space="preserve">4.如乙方未能履行合同规定的义务，甲方有权从履约保证金中取得补偿。</w:t>
      </w:r>
      <w:r/>
    </w:p>
    <w:p>
      <w:pPr>
        <w:pStyle w:val="809"/>
        <w:outlineLvl w:val="9"/>
      </w:pPr>
      <w:r>
        <w:t xml:space="preserve">6.</w:t>
      </w:r>
      <w:r>
        <w:rPr>
          <w:rFonts w:hint="eastAsia"/>
        </w:rPr>
        <w:t xml:space="preserve">5</w:t>
      </w:r>
      <w:r>
        <w:t xml:space="preserve"> </w:t>
      </w:r>
      <w:r>
        <w:rPr>
          <w:rFonts w:hint="eastAsia"/>
        </w:rPr>
        <w:t xml:space="preserve">履约保证金不予退换的情形：（</w:t>
      </w:r>
      <w:r>
        <w:t xml:space="preserve">1</w:t>
      </w:r>
      <w:r>
        <w:rPr>
          <w:rFonts w:hint="eastAsia"/>
        </w:rPr>
        <w:t xml:space="preserve">）签订合同后，乙方不得将工程及其他服务进行转包，未经甲方同意，乙方也不得采用分包的形式履行合同，否则甲方有权终止合同，乙方的履约保证金将不予退还。转包或分包造成采购人损失的，乙方应承担赔偿责任；(</w:t>
      </w:r>
      <w:r>
        <w:t xml:space="preserve">2</w:t>
      </w:r>
      <w:r>
        <w:rPr>
          <w:rFonts w:hint="eastAsia"/>
        </w:rPr>
        <w:t xml:space="preserve">)如乙方不能按时完成服务内容，给甲方造成损失的，履约保证金将不予退还。</w:t>
      </w:r>
      <w:r/>
    </w:p>
    <w:p>
      <w:pPr>
        <w:pStyle w:val="809"/>
      </w:pPr>
      <w:r>
        <w:t xml:space="preserve">7、转包或分包</w:t>
      </w:r>
      <w:r/>
    </w:p>
    <w:p>
      <w:pPr>
        <w:pStyle w:val="809"/>
      </w:pPr>
      <w:r>
        <w:t xml:space="preserve">7.1 本合同禁止转包，本合同范围的服务，应由乙方直接提供的，不得转让他人提供。</w:t>
      </w:r>
      <w:r/>
    </w:p>
    <w:p>
      <w:pPr>
        <w:pStyle w:val="809"/>
      </w:pPr>
      <w:r>
        <w:t xml:space="preserve">7.2 经甲方同意，乙方可以依法采取分包方式履行合同，但是分包方式履行的，乙方应就采购项目向甲方负全责。</w:t>
      </w:r>
      <w:r/>
    </w:p>
    <w:p>
      <w:pPr>
        <w:pStyle w:val="809"/>
      </w:pPr>
      <w:r>
        <w:t xml:space="preserve">8、</w:t>
      </w:r>
      <w:r>
        <w:rPr>
          <w:rFonts w:hint="eastAsia"/>
        </w:rPr>
        <w:t xml:space="preserve">工</w:t>
      </w:r>
      <w:r>
        <w:t xml:space="preserve">期</w:t>
      </w:r>
      <w:r/>
    </w:p>
    <w:p>
      <w:pPr>
        <w:pStyle w:val="809"/>
        <w:rPr>
          <w:u w:val="single"/>
        </w:rPr>
      </w:pPr>
      <w:r>
        <w:t xml:space="preserve">8.1 </w:t>
      </w:r>
      <w:r>
        <w:rPr>
          <w:rFonts w:hint="eastAsia"/>
        </w:rPr>
        <w:t xml:space="preserve">工</w:t>
      </w:r>
      <w:r>
        <w:t xml:space="preserve">期 </w:t>
      </w:r>
      <w:r>
        <w:rPr>
          <w:rFonts w:hint="eastAsia"/>
        </w:rPr>
        <w:t xml:space="preserve">：</w:t>
      </w:r>
      <w:r/>
    </w:p>
    <w:p>
      <w:pPr>
        <w:pStyle w:val="809"/>
      </w:pPr>
      <w:r>
        <w:t xml:space="preserve">9、交付期、交付方式及交付地点</w:t>
      </w:r>
      <w:r/>
    </w:p>
    <w:p>
      <w:pPr>
        <w:pStyle w:val="809"/>
      </w:pPr>
      <w:r>
        <w:rPr>
          <w:rFonts w:hint="eastAsia"/>
        </w:rPr>
        <w:t xml:space="preserve">9.1 交付期：甲方指定的交付期</w:t>
      </w:r>
      <w:r/>
    </w:p>
    <w:p>
      <w:pPr>
        <w:pStyle w:val="809"/>
      </w:pPr>
      <w:r>
        <w:rPr>
          <w:rFonts w:hint="eastAsia"/>
        </w:rPr>
        <w:t xml:space="preserve">9.2 交货方式：甲方指定的交货方式</w:t>
      </w:r>
      <w:r/>
    </w:p>
    <w:p>
      <w:pPr>
        <w:pStyle w:val="809"/>
      </w:pPr>
      <w:r>
        <w:rPr>
          <w:rFonts w:hint="eastAsia"/>
        </w:rPr>
        <w:t xml:space="preserve">9.3 交货地点：甲方指定的交货地点</w:t>
      </w:r>
      <w:r/>
    </w:p>
    <w:p>
      <w:pPr>
        <w:pStyle w:val="809"/>
      </w:pPr>
      <w:r>
        <w:t xml:space="preserve">10、</w:t>
      </w:r>
      <w:r>
        <w:rPr>
          <w:rFonts w:hint="eastAsia"/>
        </w:rPr>
        <w:t xml:space="preserve">价</w:t>
      </w:r>
      <w:r>
        <w:t xml:space="preserve">款支付</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10.1 本合同项下所有款项均以人民币支付。 </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10.2 本合同项下的采购资金由甲方支付，付款前乙方向甲方开具发票。</w:t>
      </w:r>
      <w:r/>
    </w:p>
    <w:p>
      <w:pPr>
        <w:ind w:firstLine="422"/>
        <w:spacing w:line="360" w:lineRule="auto"/>
        <w:rPr>
          <w:rFonts w:ascii="宋体" w:hAnsi="宋体" w:cs="宋体"/>
          <w:b/>
          <w:bCs/>
          <w:sz w:val="21"/>
          <w:szCs w:val="21"/>
        </w:rPr>
      </w:pPr>
      <w:r/>
      <w:bookmarkStart w:id="28" w:name="OLE_LINK6"/>
      <w:r/>
      <w:bookmarkStart w:id="29" w:name="OLE_LINK7"/>
      <w:r>
        <w:rPr>
          <w:rFonts w:hint="eastAsia" w:ascii="宋体" w:hAnsi="宋体" w:cs="宋体"/>
          <w:b/>
          <w:bCs/>
          <w:sz w:val="21"/>
          <w:szCs w:val="21"/>
        </w:rPr>
        <w:t xml:space="preserve">10.3 付款方式：本合同项采用分期付款。（1）合同签订后，10个工作日内预付合同价的30%；（2）设备安装调试完成经甲方验收全部合格，10个工作日内付款至5</w:t>
      </w:r>
      <w:r>
        <w:rPr>
          <w:rFonts w:ascii="宋体" w:hAnsi="宋体" w:cs="宋体"/>
          <w:b/>
          <w:bCs/>
          <w:sz w:val="21"/>
          <w:szCs w:val="21"/>
        </w:rPr>
        <w:t xml:space="preserve">0万元</w:t>
      </w:r>
      <w:r>
        <w:rPr>
          <w:rFonts w:hint="eastAsia" w:ascii="宋体" w:hAnsi="宋体" w:cs="宋体"/>
          <w:b/>
          <w:bCs/>
          <w:sz w:val="21"/>
          <w:szCs w:val="21"/>
        </w:rPr>
        <w:t xml:space="preserve">；（3）2027年底前付清余款。</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1</w:t>
      </w:r>
      <w:r>
        <w:rPr>
          <w:rFonts w:ascii="宋体" w:hAnsi="宋体" w:cs="宋体"/>
          <w:b/>
          <w:bCs/>
          <w:sz w:val="21"/>
          <w:szCs w:val="21"/>
        </w:rPr>
        <w:t xml:space="preserve">0.4</w:t>
      </w:r>
      <w:r>
        <w:rPr>
          <w:rFonts w:hint="eastAsia" w:ascii="宋体" w:hAnsi="宋体" w:cs="宋体"/>
          <w:b/>
          <w:bCs/>
          <w:sz w:val="21"/>
          <w:szCs w:val="21"/>
        </w:rPr>
        <w:t xml:space="preserve">履约担保：合同签订前，成交供应商缴纳履约保证金至学校；收取的履约保证金金额为合同金额的10％。</w:t>
      </w:r>
      <w:bookmarkEnd w:id="28"/>
      <w:r/>
      <w:bookmarkEnd w:id="29"/>
      <w:r/>
      <w:r/>
    </w:p>
    <w:p>
      <w:pPr>
        <w:pStyle w:val="809"/>
      </w:pPr>
      <w:r>
        <w:t xml:space="preserve">11、税费</w:t>
      </w:r>
      <w:r/>
    </w:p>
    <w:p>
      <w:pPr>
        <w:pStyle w:val="809"/>
      </w:pPr>
      <w:r>
        <w:t xml:space="preserve">本合同执行中相关的一切税费均由乙方负担。</w:t>
      </w:r>
      <w:r/>
    </w:p>
    <w:p>
      <w:pPr>
        <w:pStyle w:val="809"/>
      </w:pPr>
      <w:r>
        <w:t xml:space="preserve">12、质量保证及售后服务</w:t>
      </w:r>
      <w:r/>
    </w:p>
    <w:p>
      <w:pPr>
        <w:pStyle w:val="809"/>
      </w:pPr>
      <w:r>
        <w:rPr>
          <w:rFonts w:hint="eastAsia"/>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809"/>
      </w:pPr>
      <w:r>
        <w:rPr>
          <w:rFonts w:hint="eastAsia"/>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09"/>
      </w:pPr>
      <w:r>
        <w:rPr>
          <w:rFonts w:hint="eastAsia"/>
        </w:rPr>
        <w:t xml:space="preserve">12.3 乙方提供的货物在质保期内因货物本身的质量问题发生故障，乙方应负责免费更换。对达不到技术要求者，根据实际情况，经双方协商，可按以下办法处理：</w:t>
      </w:r>
      <w:r/>
    </w:p>
    <w:p>
      <w:pPr>
        <w:pStyle w:val="809"/>
      </w:pPr>
      <w:r>
        <w:rPr>
          <w:rFonts w:hint="eastAsia"/>
        </w:rPr>
        <w:t xml:space="preserve">⑴更换：由乙方承担所发生的全部费用。</w:t>
      </w:r>
      <w:r/>
    </w:p>
    <w:p>
      <w:pPr>
        <w:pStyle w:val="809"/>
      </w:pPr>
      <w:r>
        <w:rPr>
          <w:rFonts w:hint="eastAsia"/>
        </w:rPr>
        <w:t xml:space="preserve">⑵贬值处理：由甲乙双方合议定价。</w:t>
      </w:r>
      <w:r/>
    </w:p>
    <w:p>
      <w:pPr>
        <w:pStyle w:val="809"/>
      </w:pPr>
      <w:r>
        <w:rPr>
          <w:rFonts w:hint="eastAsia"/>
        </w:rPr>
        <w:t xml:space="preserve">⑶退货处理：乙方应退还甲方支付的合同款，同时应承担该货物的直接费用（运输、保险、检验、货款利息及银行手续费等）。</w:t>
      </w:r>
      <w:r/>
    </w:p>
    <w:p>
      <w:pPr>
        <w:pStyle w:val="809"/>
      </w:pPr>
      <w:r>
        <w:rPr>
          <w:rFonts w:hint="eastAsia"/>
        </w:rPr>
        <w:t xml:space="preserve">12.4 </w:t>
      </w:r>
      <w:r>
        <w:t xml:space="preserve">维修响应：遇到故障时，4小时内响应并提供解决方案，如遇设备故障短时间内无法解决提供备件服务。</w:t>
      </w:r>
      <w:r/>
    </w:p>
    <w:p>
      <w:pPr>
        <w:pStyle w:val="809"/>
      </w:pPr>
      <w:r>
        <w:rPr>
          <w:rFonts w:hint="eastAsia"/>
        </w:rPr>
        <w:t xml:space="preserve">12.5 在质保期内，乙方应对货物出现的质量及安全问题负责处理解决并承担一切费用。</w:t>
      </w:r>
      <w:r/>
    </w:p>
    <w:p>
      <w:pPr>
        <w:pStyle w:val="809"/>
      </w:pPr>
      <w:r>
        <w:rPr>
          <w:rFonts w:hint="eastAsia"/>
        </w:rPr>
        <w:t xml:space="preserve">12.6上述的货物免费保修期为2年，</w:t>
      </w:r>
      <w:r>
        <w:t xml:space="preserve">保修期内，因非人为因素导致的采购标的损坏或故障，</w:t>
      </w:r>
      <w:r>
        <w:rPr>
          <w:rFonts w:hint="eastAsia"/>
        </w:rPr>
        <w:t xml:space="preserve">乙方</w:t>
      </w:r>
      <w:r>
        <w:t xml:space="preserve">应负责免费维修或更换</w:t>
      </w:r>
      <w:r>
        <w:rPr>
          <w:rFonts w:hint="eastAsia"/>
        </w:rPr>
        <w:t xml:space="preserve">。</w:t>
      </w:r>
      <w:r/>
    </w:p>
    <w:p>
      <w:pPr>
        <w:pStyle w:val="809"/>
      </w:pPr>
      <w:r>
        <w:rPr>
          <w:rFonts w:hint="eastAsia"/>
        </w:rPr>
        <w:t xml:space="preserve">12.7</w:t>
      </w:r>
      <w:r>
        <w:t xml:space="preserve">技术支持：供应商应提供长期的技术支持服务。</w:t>
      </w:r>
      <w:r/>
    </w:p>
    <w:p>
      <w:pPr>
        <w:pStyle w:val="809"/>
      </w:pPr>
      <w:r>
        <w:rPr>
          <w:rFonts w:hint="eastAsia"/>
        </w:rPr>
        <w:t xml:space="preserve">13、交货、调试和验收</w:t>
      </w:r>
      <w:r/>
    </w:p>
    <w:p>
      <w:pPr>
        <w:pStyle w:val="809"/>
      </w:pPr>
      <w:r>
        <w:rPr>
          <w:rFonts w:hint="eastAsia"/>
        </w:rPr>
        <w:t xml:space="preserve">13.1乙方应当在合同生效后</w:t>
      </w:r>
      <w:r>
        <w:rPr>
          <w:rFonts w:hint="eastAsia"/>
          <w:u w:val="single"/>
        </w:rPr>
        <w:t xml:space="preserve">    天</w:t>
      </w:r>
      <w:r>
        <w:rPr>
          <w:rFonts w:hint="eastAsia"/>
        </w:rPr>
        <w:t xml:space="preserve">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pStyle w:val="809"/>
      </w:pPr>
      <w:r>
        <w:rPr>
          <w:rFonts w:hint="eastAsia"/>
        </w:rPr>
        <w:t xml:space="preserve">13.2 货到甲方后，甲乙双方须在 30个工作日内初验收，甲方对乙方提交的货物依据招标文件上的技术规格要求和国家有关质量标准进行现场初步验收，外观、说明书、包装符合招标文件技术要求的，给予签收，初步验收不合格的不予签收。</w:t>
      </w:r>
      <w:r/>
    </w:p>
    <w:p>
      <w:pPr>
        <w:pStyle w:val="809"/>
      </w:pPr>
      <w:r>
        <w:rPr>
          <w:rFonts w:hint="eastAsia"/>
        </w:rPr>
        <w:t xml:space="preserve">13.3 乙方按照招标文件要求负责产品安装并培训甲方的使用操作人员，乙方在甲方使用前进行调试，调试直到符合技术要求的甲方才做最终验收。</w:t>
      </w:r>
      <w:r/>
    </w:p>
    <w:p>
      <w:pPr>
        <w:pStyle w:val="809"/>
      </w:pPr>
      <w:r>
        <w:rPr>
          <w:rFonts w:hint="eastAsia"/>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809"/>
      </w:pPr>
      <w:r>
        <w:rPr>
          <w:rFonts w:hint="eastAsia"/>
        </w:rPr>
        <w:t xml:space="preserve">13.5 甲乙双方关于调试和验收的其他约定：                           。</w:t>
      </w:r>
      <w:r/>
    </w:p>
    <w:p>
      <w:pPr>
        <w:pStyle w:val="809"/>
      </w:pPr>
      <w:r>
        <w:rPr>
          <w:rFonts w:hint="eastAsia"/>
        </w:rPr>
        <w:t xml:space="preserve">14、货物包装、发运及运输</w:t>
      </w:r>
      <w:r/>
    </w:p>
    <w:p>
      <w:pPr>
        <w:pStyle w:val="809"/>
      </w:pPr>
      <w:r>
        <w:rPr>
          <w:rFonts w:hint="eastAsia"/>
        </w:rPr>
        <w:t xml:space="preserve">14.1</w:t>
      </w:r>
      <w:r>
        <w:t xml:space="preserve">包装要求：</w:t>
      </w:r>
      <w:r>
        <w:rPr>
          <w:rFonts w:hint="eastAsia"/>
        </w:rPr>
        <w:t xml:space="preserve">乙方</w:t>
      </w:r>
      <w:r>
        <w:t xml:space="preserve">应对采购标的进行妥善包装，确保在运输过程中不受损坏。包装材料应符合环保要求，且能够防潮、防震、防压。</w:t>
      </w:r>
      <w:r/>
    </w:p>
    <w:p>
      <w:pPr>
        <w:pStyle w:val="809"/>
      </w:pPr>
      <w:r>
        <w:rPr>
          <w:rFonts w:hint="eastAsia"/>
        </w:rPr>
        <w:t xml:space="preserve">14.2</w:t>
      </w:r>
      <w:r>
        <w:t xml:space="preserve">运输要求：</w:t>
      </w:r>
      <w:r>
        <w:rPr>
          <w:rFonts w:hint="eastAsia"/>
        </w:rPr>
        <w:t xml:space="preserve">乙方</w:t>
      </w:r>
      <w:r>
        <w:t xml:space="preserve">应选择经验丰富、信誉良好的运输公司进行运输，确保采购标的在运输过程中的安全。运输费用由供应商承担，除非合同另有约定。</w:t>
      </w:r>
      <w:r/>
    </w:p>
    <w:p>
      <w:pPr>
        <w:pStyle w:val="809"/>
      </w:pPr>
      <w:r>
        <w:rPr>
          <w:rFonts w:hint="eastAsia"/>
        </w:rPr>
        <w:t xml:space="preserve">14.3 乙方应在货物发运前对其进行满足运输距离、防潮、防震、防锈和防破损装卸等要求包装，以保证货物安全运达甲方指定地点。</w:t>
      </w:r>
      <w:r/>
    </w:p>
    <w:p>
      <w:pPr>
        <w:pStyle w:val="809"/>
      </w:pPr>
      <w:r>
        <w:rPr>
          <w:rFonts w:hint="eastAsia"/>
        </w:rPr>
        <w:t xml:space="preserve">14.4 乙方发货时，产品使用说明书、检验证明书、随配附件和工具以及清单一并附于货物内。</w:t>
      </w:r>
      <w:r/>
    </w:p>
    <w:p>
      <w:pPr>
        <w:pStyle w:val="809"/>
      </w:pPr>
      <w:r>
        <w:rPr>
          <w:rFonts w:hint="eastAsia"/>
        </w:rPr>
        <w:t xml:space="preserve">14.5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809"/>
      </w:pPr>
      <w:r>
        <w:rPr>
          <w:rFonts w:hint="eastAsia"/>
        </w:rPr>
        <w:t xml:space="preserve">14.6 货物在交付甲方前发生的风险均由乙方负责。</w:t>
      </w:r>
      <w:r/>
    </w:p>
    <w:p>
      <w:pPr>
        <w:pStyle w:val="809"/>
      </w:pPr>
      <w:r>
        <w:rPr>
          <w:rFonts w:hint="eastAsia"/>
        </w:rPr>
        <w:t xml:space="preserve">14.7 货物在规定的交付期限内由乙方送达甲方指定的地点，经初步验收即视为货物交付。</w:t>
      </w:r>
      <w:r/>
    </w:p>
    <w:p>
      <w:pPr>
        <w:pStyle w:val="809"/>
      </w:pPr>
      <w:r>
        <w:rPr>
          <w:rFonts w:hint="eastAsia"/>
        </w:rPr>
        <w:t xml:space="preserve">15、违约责任</w:t>
      </w:r>
      <w:r/>
    </w:p>
    <w:p>
      <w:pPr>
        <w:pStyle w:val="809"/>
      </w:pPr>
      <w:r>
        <w:rPr>
          <w:rFonts w:hint="eastAsia"/>
        </w:rPr>
        <w:t xml:space="preserve">15.1 甲方无正当理由拒绝初验收和终验收货物的，甲方应按未付货款金额每日万分之五向乙方支付违约金。</w:t>
      </w:r>
      <w:r/>
    </w:p>
    <w:p>
      <w:pPr>
        <w:pStyle w:val="809"/>
      </w:pPr>
      <w:r>
        <w:rPr>
          <w:rFonts w:hint="eastAsia"/>
        </w:rPr>
        <w:t xml:space="preserve">15.2 甲方无故逾期验收和无故逾期办理货款支付手续的,甲方应按逾期付款金额每日万分之五向乙方支付违约金。</w:t>
      </w:r>
      <w:r/>
    </w:p>
    <w:p>
      <w:pPr>
        <w:pStyle w:val="809"/>
      </w:pPr>
      <w:r>
        <w:rPr>
          <w:rFonts w:hint="eastAsia"/>
        </w:rPr>
        <w:t xml:space="preserve">15.3乙方违约，在消除违约情形前，应按货款总额每日万分之五向甲方支付违约金，甲方可以从待付货款中扣除。</w:t>
      </w:r>
      <w:r/>
    </w:p>
    <w:p>
      <w:pPr>
        <w:pStyle w:val="809"/>
      </w:pPr>
      <w:r>
        <w:rPr>
          <w:rFonts w:hint="eastAsia"/>
        </w:rPr>
        <w:t xml:space="preserve">15.4乙方因逾期交货或因其他违约行为，导致甲方解除合同的，乙方应向甲方支付合同总值5%的违约金，如造成甲方损失超过违约金的，超出部分由乙方继续承担赔偿责任。</w:t>
      </w:r>
      <w:r/>
    </w:p>
    <w:p>
      <w:pPr>
        <w:pStyle w:val="809"/>
      </w:pPr>
      <w:r>
        <w:rPr>
          <w:rFonts w:hint="eastAsia"/>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pStyle w:val="809"/>
      </w:pPr>
      <w:r>
        <w:rPr>
          <w:rFonts w:hint="eastAsia"/>
        </w:rPr>
        <w:t xml:space="preserve">15.6合同生效后，发现乙方投标属虚假承诺，或经权威部门监测提供的货物不能满足招标文件要求，造成合同无法继续履行的，还应向甲方支付不少于合同总价 </w:t>
      </w:r>
      <w:r>
        <w:rPr>
          <w:rFonts w:hint="eastAsia"/>
          <w:u w:val="single"/>
        </w:rPr>
        <w:t xml:space="preserve">30</w:t>
      </w:r>
      <w:r>
        <w:rPr>
          <w:rFonts w:hint="eastAsia"/>
        </w:rPr>
        <w:t xml:space="preserve"> %赔偿金。</w:t>
      </w:r>
      <w:r/>
    </w:p>
    <w:p>
      <w:pPr>
        <w:pStyle w:val="809"/>
        <w:rPr>
          <w:rFonts w:cs="Courier New"/>
        </w:rPr>
      </w:pPr>
      <w:r>
        <w:rPr>
          <w:rFonts w:hint="eastAsia"/>
        </w:rPr>
        <w:t xml:space="preserve">16、不可抗力事件处理</w:t>
      </w:r>
      <w:r/>
    </w:p>
    <w:p>
      <w:pPr>
        <w:pStyle w:val="809"/>
      </w:pPr>
      <w:r>
        <w:rPr>
          <w:rFonts w:hint="eastAsia"/>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09"/>
      </w:pPr>
      <w:r>
        <w:rPr>
          <w:rFonts w:hint="eastAsia"/>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09"/>
      </w:pPr>
      <w:r>
        <w:t xml:space="preserve">17、争议解决</w:t>
      </w:r>
      <w:r/>
    </w:p>
    <w:p>
      <w:pPr>
        <w:pStyle w:val="809"/>
      </w:pPr>
      <w:r>
        <w:t xml:space="preserve">17.1 因</w:t>
      </w:r>
      <w:r>
        <w:rPr>
          <w:rFonts w:hint="eastAsia"/>
        </w:rPr>
        <w:t xml:space="preserve">货物的</w:t>
      </w:r>
      <w:r>
        <w:t xml:space="preserve">质量问题发生争议的，可在国家认可的质量检测机构对服务内容质量进行鉴定。</w:t>
      </w:r>
      <w:r>
        <w:rPr>
          <w:rFonts w:hint="eastAsia"/>
        </w:rPr>
        <w:t xml:space="preserve">货物符合标准的，鉴定费由甲方承担；货物不符合质量标准的，鉴定费由乙方承担。</w:t>
      </w:r>
      <w:r/>
    </w:p>
    <w:p>
      <w:pPr>
        <w:pStyle w:val="809"/>
      </w:pPr>
      <w:r>
        <w:t xml:space="preserve">17.2 因履行本合同引起的或与本合同有关的争议，甲、乙双方应首先通过友好协商解决；如果协商不能解决争议，甲乙双方同意采取下列两种方式的第（ </w:t>
      </w:r>
      <w:r>
        <w:rPr>
          <w:rFonts w:hint="eastAsia"/>
        </w:rPr>
        <w:t xml:space="preserve">1</w:t>
      </w:r>
      <w:r>
        <w:t xml:space="preserve"> ）种方式解决争议：</w:t>
      </w:r>
      <w:r/>
    </w:p>
    <w:p>
      <w:pPr>
        <w:pStyle w:val="809"/>
      </w:pPr>
      <w:r>
        <w:t xml:space="preserve">（1）向甲方所在地有管辖权的人民法院提起诉讼，适用中华人民共和国法律；</w:t>
      </w:r>
      <w:r/>
    </w:p>
    <w:p>
      <w:pPr>
        <w:pStyle w:val="809"/>
      </w:pPr>
      <w:r>
        <w:t xml:space="preserve">（2）向扬州仲裁委员会按其仲裁规则申请仲裁。</w:t>
      </w:r>
      <w:r/>
    </w:p>
    <w:p>
      <w:pPr>
        <w:pStyle w:val="809"/>
      </w:pPr>
      <w:r>
        <w:t xml:space="preserve">17.3 若甲乙双方任何一方都没有选择解除合同的，为避免扩大损失，在诉讼或仲裁期间，双方应继续履行。</w:t>
      </w:r>
      <w:r/>
    </w:p>
    <w:p>
      <w:pPr>
        <w:pStyle w:val="809"/>
      </w:pPr>
      <w:r>
        <w:t xml:space="preserve">18、合同其它</w:t>
      </w:r>
      <w:r/>
    </w:p>
    <w:p>
      <w:pPr>
        <w:pStyle w:val="809"/>
      </w:pPr>
      <w:r>
        <w:t xml:space="preserve">18.1 乙方应诚实信用，严格按照</w:t>
      </w:r>
      <w:r>
        <w:rPr>
          <w:rFonts w:hint="eastAsia"/>
        </w:rPr>
        <w:t xml:space="preserve">招标</w:t>
      </w:r>
      <w:r>
        <w:t xml:space="preserve">文件要求和投标承诺履行合同，不向甲方进行商业贿赂或者提供不正当利益。</w:t>
      </w:r>
      <w:r/>
    </w:p>
    <w:p>
      <w:pPr>
        <w:pStyle w:val="809"/>
      </w:pPr>
      <w:r>
        <w:t xml:space="preserve">18.2 合同经双方法定代表人或授权代表签字并加盖单位公章，并经江苏唯诚建设咨询有限公司见证盖章后生效。</w:t>
      </w:r>
      <w:r/>
    </w:p>
    <w:p>
      <w:pPr>
        <w:pStyle w:val="809"/>
      </w:pPr>
      <w:r>
        <w:t xml:space="preserve">18.3本合同未尽事宜，遵照《</w:t>
      </w:r>
      <w:r>
        <w:rPr>
          <w:rFonts w:hint="eastAsia"/>
        </w:rPr>
        <w:t xml:space="preserve">中华人民共和国民法典</w:t>
      </w:r>
      <w:r>
        <w:t xml:space="preserve">》有关条文执行。</w:t>
      </w:r>
      <w:r/>
    </w:p>
    <w:p>
      <w:pPr>
        <w:pStyle w:val="809"/>
      </w:pPr>
      <w:r>
        <w:t xml:space="preserve">18.4 本合同正本一式五份，具有同等法律效力，甲方、乙方各执二份、见证方执一份。</w:t>
      </w:r>
      <w:r/>
    </w:p>
    <w:p>
      <w:pPr>
        <w:pStyle w:val="809"/>
      </w:pPr>
      <w:r>
        <w:t xml:space="preserve">  甲方：</w:t>
      </w:r>
      <w:r>
        <w:tab/>
      </w:r>
      <w:r>
        <w:t xml:space="preserve">    </w:t>
      </w:r>
      <w:r>
        <w:rPr>
          <w:rFonts w:hint="eastAsia"/>
        </w:rPr>
        <w:t xml:space="preserve">                          </w:t>
      </w:r>
      <w:r>
        <w:t xml:space="preserve"> 乙方： </w:t>
      </w:r>
      <w:r/>
    </w:p>
    <w:p>
      <w:pPr>
        <w:pStyle w:val="809"/>
      </w:pPr>
      <w:r>
        <w:t xml:space="preserve">  地址：</w:t>
      </w:r>
      <w:r>
        <w:tab/>
      </w:r>
      <w:r>
        <w:tab/>
      </w:r>
      <w:r>
        <w:tab/>
      </w:r>
      <w:r>
        <w:tab/>
      </w:r>
      <w:r>
        <w:t xml:space="preserve">                   地址： </w:t>
      </w:r>
      <w:r/>
    </w:p>
    <w:p>
      <w:pPr>
        <w:pStyle w:val="809"/>
      </w:pPr>
      <w:r>
        <w:t xml:space="preserve">  法定代表人或授权代表：                   法定代表人或授权代表：</w:t>
      </w:r>
      <w:r/>
    </w:p>
    <w:p>
      <w:pPr>
        <w:pStyle w:val="809"/>
      </w:pPr>
      <w:r>
        <w:t xml:space="preserve">  联系电话：                               联系电话：</w:t>
      </w:r>
      <w:r/>
    </w:p>
    <w:p>
      <w:pPr>
        <w:pStyle w:val="809"/>
      </w:pPr>
      <w:r/>
      <w:r/>
    </w:p>
    <w:p>
      <w:pPr>
        <w:pStyle w:val="809"/>
      </w:pPr>
      <w:r>
        <w:t xml:space="preserve">见证方：江苏唯诚建设咨询有限公司</w:t>
      </w:r>
      <w:r/>
    </w:p>
    <w:p>
      <w:pPr>
        <w:pStyle w:val="809"/>
      </w:pPr>
      <w:r>
        <w:t xml:space="preserve">日期：     年   月   日</w:t>
      </w:r>
      <w:bookmarkStart w:id="30" w:name="_Hlt16619369"/>
      <w:r/>
      <w:bookmarkEnd w:id="30"/>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809"/>
      </w:pPr>
      <w:r/>
      <w:r/>
    </w:p>
    <w:p>
      <w:pPr>
        <w:pStyle w:val="1014"/>
        <w:jc w:val="center"/>
        <w:rPr>
          <w:rFonts w:ascii="宋体" w:hAnsi="宋体"/>
          <w:sz w:val="36"/>
        </w:rPr>
      </w:pPr>
      <w:r>
        <w:rPr>
          <w:rFonts w:hint="eastAsia" w:ascii="宋体" w:hAnsi="宋体"/>
          <w:sz w:val="36"/>
        </w:rPr>
        <w:t xml:space="preserve">第四章 </w:t>
      </w:r>
      <w:r>
        <w:rPr>
          <w:rFonts w:ascii="宋体" w:hAnsi="宋体"/>
          <w:sz w:val="36"/>
        </w:rPr>
        <w:t xml:space="preserve">项目需求</w:t>
      </w:r>
      <w:r/>
    </w:p>
    <w:p>
      <w:pPr>
        <w:ind w:firstLine="400"/>
        <w:spacing w:line="360" w:lineRule="auto"/>
      </w:pPr>
      <w:r>
        <w:rPr>
          <w:rFonts w:hint="eastAsia"/>
        </w:rPr>
        <w:t xml:space="preserve">注：本章内容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00"/>
        <w:spacing w:line="360" w:lineRule="auto"/>
      </w:pPr>
      <w:r>
        <w:rPr>
          <w:rFonts w:hint="eastAsia"/>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00"/>
        <w:spacing w:line="360" w:lineRule="auto"/>
        <w:rPr>
          <w:b/>
        </w:rPr>
      </w:pPr>
      <w:r>
        <w:rPr>
          <w:rFonts w:hint="eastAsia"/>
          <w:b/>
        </w:rPr>
        <w:t xml:space="preserve">一、政府采购中实施本国产品标准及相关政策</w:t>
      </w:r>
      <w:r/>
    </w:p>
    <w:p>
      <w:pPr>
        <w:ind w:firstLine="400"/>
        <w:spacing w:line="360" w:lineRule="auto"/>
      </w:pPr>
      <w:r>
        <w:rPr>
          <w:rFonts w:hint="eastAsia"/>
        </w:rPr>
        <w:t xml:space="preserve">1.本项目对采购本国产品给予政策支持，具体内容见招标文件“第五章 评标方法与评标标准”。</w:t>
      </w:r>
      <w:r/>
    </w:p>
    <w:p>
      <w:pPr>
        <w:ind w:firstLine="400"/>
        <w:spacing w:line="360" w:lineRule="auto"/>
      </w:pPr>
      <w:r>
        <w:rPr>
          <w:rFonts w:hint="eastAsi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00"/>
        <w:spacing w:line="360" w:lineRule="auto"/>
      </w:pPr>
      <w:r>
        <w:rPr>
          <w:rFonts w:hint="eastAsi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00"/>
        <w:spacing w:line="360" w:lineRule="auto"/>
        <w:rPr>
          <w:b/>
        </w:rPr>
      </w:pPr>
      <w:r>
        <w:rPr>
          <w:rFonts w:hint="eastAsia"/>
          <w:b/>
        </w:rPr>
        <w:t xml:space="preserve">二、技术参数</w:t>
      </w:r>
      <w:r/>
    </w:p>
    <w:p>
      <w:pPr>
        <w:ind w:firstLine="400"/>
        <w:spacing w:line="360" w:lineRule="auto"/>
      </w:pPr>
      <w:r>
        <w:rPr>
          <w:rFonts w:hint="eastAsia"/>
        </w:rPr>
        <w:t xml:space="preserve">线上“智能石化工厂”项目技术参数</w:t>
      </w:r>
      <w:r/>
    </w:p>
    <w:tbl>
      <w:tblPr>
        <w:tblStyle w:val="799"/>
        <w:tblW w:w="36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3950"/>
        <w:gridCol w:w="1416"/>
      </w:tblGrid>
      <w:tr>
        <w:trPr>
          <w:jc w:val="center"/>
          <w:trHeight w:val="318"/>
        </w:trPr>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ind w:firstLine="400"/>
              <w:rPr>
                <w:b/>
                <w:lang w:bidi="ar"/>
              </w:rPr>
            </w:pPr>
            <w:r>
              <w:rPr>
                <w:rFonts w:hint="eastAsia"/>
                <w:b/>
                <w:lang w:bidi="ar"/>
              </w:rPr>
              <w:t xml:space="preserve">序号</w:t>
            </w:r>
            <w:r/>
          </w:p>
        </w:tc>
        <w:tc>
          <w:tcPr>
            <w:tcBorders>
              <w:top w:val="single" w:color="auto" w:sz="4" w:space="0"/>
              <w:left w:val="single" w:color="auto" w:sz="4" w:space="0"/>
              <w:bottom w:val="single" w:color="auto" w:sz="4" w:space="0"/>
              <w:right w:val="single" w:color="auto" w:sz="4" w:space="0"/>
            </w:tcBorders>
            <w:tcW w:w="3161" w:type="pct"/>
            <w:vAlign w:val="center"/>
            <w:textDirection w:val="lrTb"/>
            <w:noWrap w:val="false"/>
          </w:tcPr>
          <w:p>
            <w:pPr>
              <w:ind w:firstLine="400"/>
              <w:rPr>
                <w:b/>
              </w:rPr>
            </w:pPr>
            <w:r>
              <w:rPr>
                <w:rFonts w:hint="eastAsia"/>
                <w:b/>
                <w:lang w:bidi="ar"/>
              </w:rPr>
              <w:t xml:space="preserve">设备名称</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ind w:firstLine="400"/>
              <w:rPr>
                <w:b/>
                <w:lang w:bidi="ar"/>
              </w:rPr>
            </w:pPr>
            <w:r>
              <w:rPr>
                <w:rFonts w:hint="eastAsia"/>
                <w:b/>
                <w:lang w:bidi="ar"/>
              </w:rPr>
              <w:t xml:space="preserve">数量</w:t>
            </w:r>
            <w:r/>
          </w:p>
        </w:tc>
      </w:tr>
      <w:tr>
        <w:trPr>
          <w:jc w:val="center"/>
          <w:trHeight w:val="334"/>
        </w:trPr>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rPr>
                <w:lang w:bidi="ar"/>
              </w:rPr>
            </w:pPr>
            <w:r>
              <w:rPr>
                <w:rFonts w:hint="eastAsia"/>
                <w:lang w:bidi="ar"/>
              </w:rPr>
              <w:t xml:space="preserve">1</w:t>
            </w:r>
            <w:r/>
          </w:p>
        </w:tc>
        <w:tc>
          <w:tcPr>
            <w:tcBorders>
              <w:top w:val="single" w:color="auto" w:sz="4" w:space="0"/>
              <w:left w:val="single" w:color="auto" w:sz="4" w:space="0"/>
              <w:bottom w:val="single" w:color="auto" w:sz="4" w:space="0"/>
              <w:right w:val="single" w:color="auto" w:sz="4" w:space="0"/>
            </w:tcBorders>
            <w:tcW w:w="3161" w:type="pct"/>
            <w:vAlign w:val="center"/>
            <w:textDirection w:val="lrTb"/>
            <w:noWrap w:val="false"/>
          </w:tcPr>
          <w:p>
            <w:r>
              <w:rPr>
                <w:rFonts w:hint="eastAsia"/>
                <w:lang w:bidi="ar"/>
              </w:rPr>
              <w:t xml:space="preserve">数智仿真工厂全景认知（网页端）</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rPr>
                <w:lang w:bidi="ar"/>
              </w:rPr>
            </w:pPr>
            <w:r>
              <w:rPr>
                <w:rFonts w:hint="eastAsia"/>
                <w:lang w:bidi="ar"/>
              </w:rPr>
              <w:t xml:space="preserve">1套</w:t>
            </w:r>
            <w:r/>
          </w:p>
        </w:tc>
      </w:tr>
      <w:tr>
        <w:trPr>
          <w:jc w:val="center"/>
          <w:trHeight w:val="318"/>
        </w:trPr>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rPr>
                <w:lang w:bidi="ar"/>
              </w:rPr>
            </w:pPr>
            <w:r>
              <w:rPr>
                <w:rFonts w:hint="eastAsia"/>
                <w:lang w:bidi="ar"/>
              </w:rPr>
              <w:t xml:space="preserve">2</w:t>
            </w:r>
            <w:r/>
          </w:p>
        </w:tc>
        <w:tc>
          <w:tcPr>
            <w:tcBorders>
              <w:top w:val="single" w:color="auto" w:sz="4" w:space="0"/>
              <w:left w:val="single" w:color="auto" w:sz="4" w:space="0"/>
              <w:bottom w:val="single" w:color="auto" w:sz="4" w:space="0"/>
              <w:right w:val="single" w:color="auto" w:sz="4" w:space="0"/>
            </w:tcBorders>
            <w:tcW w:w="3161" w:type="pct"/>
            <w:vAlign w:val="center"/>
            <w:textDirection w:val="lrTb"/>
            <w:noWrap w:val="false"/>
          </w:tcPr>
          <w:p>
            <w:r>
              <w:rPr>
                <w:rFonts w:hint="eastAsia"/>
                <w:lang w:bidi="ar"/>
              </w:rPr>
              <w:t xml:space="preserve">数智仿真工厂实操3D虚拟仿真系统</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rPr>
                <w:lang w:bidi="ar"/>
              </w:rPr>
            </w:pPr>
            <w:r>
              <w:rPr>
                <w:rFonts w:hint="eastAsia"/>
                <w:lang w:bidi="ar"/>
              </w:rPr>
              <w:t xml:space="preserve">1套</w:t>
            </w:r>
            <w:r/>
          </w:p>
        </w:tc>
      </w:tr>
      <w:tr>
        <w:trPr>
          <w:jc w:val="center"/>
          <w:trHeight w:val="334"/>
        </w:trPr>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rPr>
                <w:lang w:bidi="ar"/>
              </w:rPr>
            </w:pPr>
            <w:r>
              <w:rPr>
                <w:rFonts w:hint="eastAsia"/>
                <w:lang w:bidi="ar"/>
              </w:rPr>
              <w:t xml:space="preserve">3</w:t>
            </w:r>
            <w:r/>
          </w:p>
        </w:tc>
        <w:tc>
          <w:tcPr>
            <w:tcBorders>
              <w:top w:val="single" w:color="auto" w:sz="4" w:space="0"/>
              <w:left w:val="single" w:color="auto" w:sz="4" w:space="0"/>
              <w:bottom w:val="single" w:color="auto" w:sz="4" w:space="0"/>
              <w:right w:val="single" w:color="auto" w:sz="4" w:space="0"/>
            </w:tcBorders>
            <w:tcW w:w="3161" w:type="pct"/>
            <w:vAlign w:val="center"/>
            <w:textDirection w:val="lrTb"/>
            <w:noWrap w:val="false"/>
          </w:tcPr>
          <w:p>
            <w:r>
              <w:rPr>
                <w:rFonts w:hint="eastAsia"/>
                <w:lang w:bidi="ar"/>
              </w:rPr>
              <w:t xml:space="preserve">制造执行智能虚拟仿真系统</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rPr>
                <w:lang w:bidi="ar"/>
              </w:rPr>
            </w:pPr>
            <w:r>
              <w:rPr>
                <w:rFonts w:hint="eastAsia"/>
                <w:lang w:bidi="ar"/>
              </w:rPr>
              <w:t xml:space="preserve">1套</w:t>
            </w:r>
            <w:r/>
          </w:p>
        </w:tc>
      </w:tr>
      <w:tr>
        <w:trPr>
          <w:jc w:val="center"/>
          <w:trHeight w:val="334"/>
        </w:trPr>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rPr>
                <w:lang w:bidi="ar"/>
              </w:rPr>
            </w:pPr>
            <w:r>
              <w:rPr>
                <w:rFonts w:hint="eastAsia"/>
                <w:lang w:bidi="ar"/>
              </w:rPr>
              <w:t xml:space="preserve">4</w:t>
            </w:r>
            <w:r/>
          </w:p>
        </w:tc>
        <w:tc>
          <w:tcPr>
            <w:tcBorders>
              <w:top w:val="single" w:color="auto" w:sz="4" w:space="0"/>
              <w:left w:val="single" w:color="auto" w:sz="4" w:space="0"/>
              <w:bottom w:val="single" w:color="auto" w:sz="4" w:space="0"/>
              <w:right w:val="single" w:color="auto" w:sz="4" w:space="0"/>
            </w:tcBorders>
            <w:tcW w:w="3161" w:type="pct"/>
            <w:vAlign w:val="center"/>
            <w:textDirection w:val="lrTb"/>
            <w:noWrap w:val="false"/>
          </w:tcPr>
          <w:p>
            <w:r>
              <w:rPr>
                <w:rFonts w:hint="eastAsia"/>
                <w:lang w:bidi="ar"/>
              </w:rPr>
              <w:t xml:space="preserve">智能多变量先进控制虚拟仿真系统</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rPr>
                <w:lang w:bidi="ar"/>
              </w:rPr>
            </w:pPr>
            <w:r>
              <w:rPr>
                <w:rFonts w:hint="eastAsia"/>
                <w:lang w:bidi="ar"/>
              </w:rPr>
              <w:t xml:space="preserve">1套</w:t>
            </w:r>
            <w:r/>
          </w:p>
        </w:tc>
      </w:tr>
      <w:tr>
        <w:trPr>
          <w:jc w:val="center"/>
          <w:trHeight w:val="334"/>
        </w:trPr>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rPr>
                <w:lang w:bidi="ar"/>
              </w:rPr>
            </w:pPr>
            <w:r>
              <w:rPr>
                <w:rFonts w:hint="eastAsia"/>
                <w:lang w:bidi="ar"/>
              </w:rPr>
              <w:t xml:space="preserve">5</w:t>
            </w:r>
            <w:r/>
          </w:p>
        </w:tc>
        <w:tc>
          <w:tcPr>
            <w:tcBorders>
              <w:top w:val="single" w:color="auto" w:sz="4" w:space="0"/>
              <w:left w:val="single" w:color="auto" w:sz="4" w:space="0"/>
              <w:bottom w:val="single" w:color="auto" w:sz="4" w:space="0"/>
              <w:right w:val="single" w:color="auto" w:sz="4" w:space="0"/>
            </w:tcBorders>
            <w:tcW w:w="3161" w:type="pct"/>
            <w:vAlign w:val="center"/>
            <w:textDirection w:val="lrTb"/>
            <w:noWrap w:val="false"/>
          </w:tcPr>
          <w:p>
            <w:r>
              <w:rPr>
                <w:rFonts w:hint="eastAsia"/>
                <w:lang w:bidi="ar"/>
              </w:rPr>
              <w:t xml:space="preserve">智能安全仪表联锁虚拟仿真系统</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rPr>
                <w:lang w:bidi="ar"/>
              </w:rPr>
            </w:pPr>
            <w:r>
              <w:rPr>
                <w:rFonts w:hint="eastAsia"/>
                <w:lang w:bidi="ar"/>
              </w:rPr>
              <w:t xml:space="preserve">1套</w:t>
            </w:r>
            <w:r/>
          </w:p>
        </w:tc>
      </w:tr>
      <w:tr>
        <w:trPr>
          <w:jc w:val="center"/>
          <w:trHeight w:val="334"/>
        </w:trPr>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rPr>
                <w:lang w:bidi="ar"/>
              </w:rPr>
            </w:pPr>
            <w:r>
              <w:rPr>
                <w:rFonts w:hint="eastAsia"/>
                <w:lang w:bidi="ar"/>
              </w:rPr>
              <w:t xml:space="preserve">6</w:t>
            </w:r>
            <w:r/>
          </w:p>
        </w:tc>
        <w:tc>
          <w:tcPr>
            <w:tcBorders>
              <w:top w:val="single" w:color="auto" w:sz="4" w:space="0"/>
              <w:left w:val="single" w:color="auto" w:sz="4" w:space="0"/>
              <w:bottom w:val="single" w:color="auto" w:sz="4" w:space="0"/>
              <w:right w:val="single" w:color="auto" w:sz="4" w:space="0"/>
            </w:tcBorders>
            <w:tcW w:w="3161" w:type="pct"/>
            <w:vAlign w:val="center"/>
            <w:textDirection w:val="lrTb"/>
            <w:noWrap w:val="false"/>
          </w:tcPr>
          <w:p>
            <w:r>
              <w:rPr>
                <w:rFonts w:hint="eastAsia"/>
                <w:lang w:bidi="ar"/>
              </w:rPr>
              <w:t xml:space="preserve">智能巡检3D虚拟仿真系统</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rPr>
                <w:lang w:bidi="ar"/>
              </w:rPr>
            </w:pPr>
            <w:r>
              <w:rPr>
                <w:rFonts w:hint="eastAsia"/>
                <w:lang w:bidi="ar"/>
              </w:rPr>
              <w:t xml:space="preserve">1套</w:t>
            </w:r>
            <w:r/>
          </w:p>
        </w:tc>
      </w:tr>
      <w:tr>
        <w:trPr>
          <w:jc w:val="center"/>
          <w:trHeight w:val="318"/>
        </w:trPr>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rPr>
                <w:lang w:bidi="ar"/>
              </w:rPr>
            </w:pPr>
            <w:r>
              <w:rPr>
                <w:rFonts w:hint="eastAsia"/>
                <w:lang w:bidi="ar"/>
              </w:rPr>
              <w:t xml:space="preserve">7</w:t>
            </w:r>
            <w:r/>
          </w:p>
        </w:tc>
        <w:tc>
          <w:tcPr>
            <w:tcBorders>
              <w:top w:val="single" w:color="auto" w:sz="4" w:space="0"/>
              <w:left w:val="single" w:color="auto" w:sz="4" w:space="0"/>
              <w:bottom w:val="single" w:color="auto" w:sz="4" w:space="0"/>
              <w:right w:val="single" w:color="auto" w:sz="4" w:space="0"/>
            </w:tcBorders>
            <w:tcW w:w="3161" w:type="pct"/>
            <w:vAlign w:val="center"/>
            <w:textDirection w:val="lrTb"/>
            <w:noWrap w:val="false"/>
          </w:tcPr>
          <w:p>
            <w:r>
              <w:rPr>
                <w:rFonts w:hint="eastAsia"/>
                <w:lang w:bidi="ar"/>
              </w:rPr>
              <w:t xml:space="preserve">智能EMS能源管理虚拟仿真系统</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rPr>
                <w:lang w:bidi="ar"/>
              </w:rPr>
            </w:pPr>
            <w:r>
              <w:rPr>
                <w:rFonts w:hint="eastAsia"/>
                <w:lang w:bidi="ar"/>
              </w:rPr>
              <w:t xml:space="preserve">1套</w:t>
            </w:r>
            <w:r/>
          </w:p>
        </w:tc>
      </w:tr>
      <w:tr>
        <w:trPr>
          <w:jc w:val="center"/>
          <w:trHeight w:val="334"/>
        </w:trPr>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rPr>
                <w:lang w:bidi="ar"/>
              </w:rPr>
            </w:pPr>
            <w:r>
              <w:rPr>
                <w:rFonts w:hint="eastAsia"/>
                <w:lang w:bidi="ar"/>
              </w:rPr>
              <w:t xml:space="preserve">8</w:t>
            </w:r>
            <w:r/>
          </w:p>
        </w:tc>
        <w:tc>
          <w:tcPr>
            <w:tcBorders>
              <w:top w:val="single" w:color="auto" w:sz="4" w:space="0"/>
              <w:left w:val="single" w:color="auto" w:sz="4" w:space="0"/>
              <w:bottom w:val="single" w:color="auto" w:sz="4" w:space="0"/>
              <w:right w:val="single" w:color="auto" w:sz="4" w:space="0"/>
            </w:tcBorders>
            <w:tcW w:w="3161" w:type="pct"/>
            <w:vAlign w:val="center"/>
            <w:textDirection w:val="lrTb"/>
            <w:noWrap w:val="false"/>
          </w:tcPr>
          <w:p>
            <w:r>
              <w:rPr>
                <w:rFonts w:hint="eastAsia"/>
                <w:lang w:bidi="ar"/>
              </w:rPr>
              <w:t xml:space="preserve">智能设备预防性维护虚拟仿真系统</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rPr>
                <w:lang w:bidi="ar"/>
              </w:rPr>
            </w:pPr>
            <w:r>
              <w:rPr>
                <w:rFonts w:hint="eastAsia"/>
                <w:lang w:bidi="ar"/>
              </w:rPr>
              <w:t xml:space="preserve">1套</w:t>
            </w:r>
            <w:r/>
          </w:p>
        </w:tc>
      </w:tr>
      <w:tr>
        <w:trPr>
          <w:jc w:val="center"/>
          <w:trHeight w:val="318"/>
        </w:trPr>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rPr>
                <w:lang w:bidi="ar"/>
              </w:rPr>
            </w:pPr>
            <w:r>
              <w:rPr>
                <w:rFonts w:hint="eastAsia"/>
                <w:lang w:bidi="ar"/>
              </w:rPr>
              <w:t xml:space="preserve">9</w:t>
            </w:r>
            <w:r/>
          </w:p>
        </w:tc>
        <w:tc>
          <w:tcPr>
            <w:tcBorders>
              <w:top w:val="single" w:color="auto" w:sz="4" w:space="0"/>
              <w:left w:val="single" w:color="auto" w:sz="4" w:space="0"/>
              <w:bottom w:val="single" w:color="auto" w:sz="4" w:space="0"/>
              <w:right w:val="single" w:color="auto" w:sz="4" w:space="0"/>
            </w:tcBorders>
            <w:tcW w:w="3161" w:type="pct"/>
            <w:vAlign w:val="center"/>
            <w:textDirection w:val="lrTb"/>
            <w:noWrap w:val="false"/>
          </w:tcPr>
          <w:p>
            <w:r>
              <w:rPr>
                <w:rFonts w:hint="eastAsia"/>
                <w:lang w:bidi="ar"/>
              </w:rPr>
              <w:t xml:space="preserve">智能生产辅助决策虚拟仿真系统</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rPr>
                <w:lang w:bidi="ar"/>
              </w:rPr>
            </w:pPr>
            <w:r>
              <w:rPr>
                <w:rFonts w:hint="eastAsia"/>
                <w:lang w:bidi="ar"/>
              </w:rPr>
              <w:t xml:space="preserve">1套</w:t>
            </w:r>
            <w:r/>
          </w:p>
        </w:tc>
      </w:tr>
      <w:tr>
        <w:trPr>
          <w:jc w:val="center"/>
          <w:trHeight w:val="334"/>
        </w:trPr>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rPr>
                <w:lang w:bidi="ar"/>
              </w:rPr>
            </w:pPr>
            <w:r>
              <w:rPr>
                <w:rFonts w:hint="eastAsia"/>
                <w:lang w:bidi="ar"/>
              </w:rPr>
              <w:t xml:space="preserve">10</w:t>
            </w:r>
            <w:r/>
          </w:p>
        </w:tc>
        <w:tc>
          <w:tcPr>
            <w:tcBorders>
              <w:top w:val="single" w:color="auto" w:sz="4" w:space="0"/>
              <w:left w:val="single" w:color="auto" w:sz="4" w:space="0"/>
              <w:bottom w:val="single" w:color="auto" w:sz="4" w:space="0"/>
              <w:right w:val="single" w:color="auto" w:sz="4" w:space="0"/>
            </w:tcBorders>
            <w:tcW w:w="3161" w:type="pct"/>
            <w:vAlign w:val="center"/>
            <w:textDirection w:val="lrTb"/>
            <w:noWrap w:val="false"/>
          </w:tcPr>
          <w:p>
            <w:r>
              <w:rPr>
                <w:rFonts w:hint="eastAsia"/>
                <w:lang w:bidi="ar"/>
              </w:rPr>
              <w:t xml:space="preserve">特殊作业3D虚拟仿真系统</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rPr>
                <w:lang w:bidi="ar"/>
              </w:rPr>
            </w:pPr>
            <w:r>
              <w:rPr>
                <w:rFonts w:hint="eastAsia"/>
                <w:lang w:bidi="ar"/>
              </w:rPr>
              <w:t xml:space="preserve">1套</w:t>
            </w:r>
            <w:r/>
          </w:p>
        </w:tc>
      </w:tr>
    </w:tbl>
    <w:p>
      <w:pPr>
        <w:ind w:firstLine="400"/>
        <w:spacing w:line="360" w:lineRule="auto"/>
      </w:pPr>
      <w:r>
        <w:rPr>
          <w:rFonts w:hint="eastAsia"/>
        </w:rPr>
        <w:t xml:space="preserve">1、</w:t>
      </w:r>
      <w:bookmarkStart w:id="31" w:name="OLE_LINK14"/>
      <w:r>
        <w:rPr>
          <w:rFonts w:hint="eastAsia"/>
        </w:rPr>
        <w:t xml:space="preserve">数智仿真工厂全景认知（网页端）</w:t>
      </w:r>
      <w:bookmarkEnd w:id="31"/>
      <w:r/>
      <w:r/>
    </w:p>
    <w:p>
      <w:pPr>
        <w:ind w:firstLine="400"/>
        <w:spacing w:line="360" w:lineRule="auto"/>
      </w:pPr>
      <w:r>
        <w:rPr>
          <w:rFonts w:hint="eastAsia"/>
        </w:rPr>
        <w:t xml:space="preserve">1.1、建设要求</w:t>
      </w:r>
      <w:r/>
    </w:p>
    <w:p>
      <w:pPr>
        <w:ind w:firstLine="400"/>
        <w:spacing w:line="360" w:lineRule="auto"/>
      </w:pPr>
      <w:r>
        <w:rPr>
          <w:rFonts w:hint="eastAsia"/>
        </w:rPr>
        <w:t xml:space="preserve">本模块要求招标方须向投标人提供实体工厂的工艺流程图并开放实体工厂，支持投标人在工厂现场勘查</w:t>
      </w:r>
      <w:r>
        <w:rPr>
          <w:rFonts w:hint="eastAsia"/>
        </w:rPr>
        <w:t xml:space="preserve">，并作为投标人方案编制、全景建模开发、项目评标及验收的唯一标准依据，确保开发成果与实体工厂的一致性、匹配性。投标人需依托校内升级后的智能石化实体工厂完成全景数据采集、功能模块开发。所有全景场景、设备模型、区域布局、工艺走向必须与实体智能石化工厂完全一致、同步匹配，无布局偏差、无设备缺失、无工艺路线错误，精准还原常减压、催化裂化全套生产装置及配套辅助设施。支持学生、教师通过全景可视化方式开展石化工厂整体认知、厂区布局学习、工艺路线观摩、设备点位熟悉等教学实训工作，打造沉浸式、可视化、智能化的石化仿真教学场景。</w:t>
      </w:r>
      <w:r/>
    </w:p>
    <w:p>
      <w:pPr>
        <w:ind w:firstLine="400"/>
        <w:spacing w:line="360" w:lineRule="auto"/>
      </w:pPr>
      <w:r>
        <w:rPr>
          <w:rFonts w:hint="eastAsia"/>
        </w:rPr>
        <w:t xml:space="preserve">要求提供数智仿真工厂全景认知（网页端）中文版和英文版各1套。</w:t>
      </w:r>
      <w:r/>
    </w:p>
    <w:p>
      <w:pPr>
        <w:ind w:firstLine="400"/>
        <w:spacing w:line="360" w:lineRule="auto"/>
      </w:pPr>
      <w:r>
        <w:rPr>
          <w:rFonts w:hint="eastAsia"/>
        </w:rPr>
        <w:t xml:space="preserve">1.2、功能要求</w:t>
      </w:r>
      <w:r/>
    </w:p>
    <w:p>
      <w:pPr>
        <w:ind w:firstLine="400"/>
        <w:spacing w:line="360" w:lineRule="auto"/>
      </w:pPr>
      <w:r>
        <w:rPr>
          <w:rFonts w:hint="eastAsia"/>
        </w:rPr>
        <w:t xml:space="preserve">（1）全景场景采集要求</w:t>
      </w:r>
      <w:r/>
    </w:p>
    <w:p>
      <w:pPr>
        <w:ind w:firstLine="400"/>
        <w:spacing w:line="360" w:lineRule="auto"/>
      </w:pPr>
      <w:r>
        <w:rPr>
          <w:rFonts w:hint="eastAsia"/>
        </w:rPr>
        <w:t xml:space="preserve">①全场景全景采集：针对校内智能石化工厂全域开展高清全景图像采集，覆盖厂区整体外围环境、生产装置区、设备操作区、中控控制室、辅助功能区、通道巡检路线、管线廊道等所有区域，无采集盲区、无场景遗漏。</w:t>
      </w:r>
      <w:r/>
    </w:p>
    <w:p>
      <w:pPr>
        <w:ind w:firstLine="400"/>
        <w:spacing w:line="360" w:lineRule="auto"/>
      </w:pPr>
      <w:r>
        <w:rPr>
          <w:rFonts w:hint="eastAsia"/>
        </w:rPr>
        <w:t xml:space="preserve">②场景1:1精准复刻：全景场景布局、设备型号、设备摆放位置、管线走向、阀门点位、仪表位置、操作台布局、中控屏幕布局、厂区标识标牌等所有细节，与学校升级后的智能石化实体工厂完全一致，保证仿真场景与实体工厂高度契合。</w:t>
      </w:r>
      <w:r/>
    </w:p>
    <w:p>
      <w:pPr>
        <w:spacing w:line="360" w:lineRule="auto"/>
      </w:pPr>
      <w:r>
        <w:rPr>
          <w:rFonts w:hint="eastAsia"/>
        </w:rPr>
        <w:t xml:space="preserve">③全景画质参数：全景图像分辨率不低于6K，支持缩放、细节查看，设备铭牌、仪表参数、管线标识、设备结构等细节清晰可辨；画面无畸变、无模糊、无重影，色彩还原真实，适配长时间教学浏览使用。</w:t>
      </w:r>
      <w:r/>
    </w:p>
    <w:p>
      <w:pPr>
        <w:ind w:firstLine="400"/>
        <w:spacing w:line="360" w:lineRule="auto"/>
      </w:pPr>
      <w:r>
        <w:rPr>
          <w:rFonts w:hint="eastAsia"/>
        </w:rPr>
        <w:t xml:space="preserve">（2）分级目录快速跳转功能</w:t>
      </w:r>
      <w:r/>
    </w:p>
    <w:p>
      <w:pPr>
        <w:ind w:firstLine="400"/>
        <w:spacing w:line="360" w:lineRule="auto"/>
      </w:pPr>
      <w:r>
        <w:rPr>
          <w:rFonts w:hint="eastAsia"/>
        </w:rPr>
        <w:t xml:space="preserve">①多级目录架构：系统内置厂区分级导航目录，分类清晰、层级明确，适配石化教学认知逻辑。</w:t>
      </w:r>
      <w:r/>
    </w:p>
    <w:p>
      <w:pPr>
        <w:ind w:firstLine="400"/>
        <w:spacing w:line="360" w:lineRule="auto"/>
      </w:pPr>
      <w:r>
        <w:rPr>
          <w:rFonts w:hint="eastAsia"/>
        </w:rPr>
        <w:t xml:space="preserve">②精准跳转功能：支持目录一键跳转定位，点击对应分级目录选项，可直接跳转至厂区整体、中控室、常减压装置区、催化裂化装置区、辅助设施区、核心单设备等指定场景，跳转响应速度≤1秒，无卡顿、无黑屏。</w:t>
      </w:r>
      <w:r/>
    </w:p>
    <w:p>
      <w:pPr>
        <w:ind w:firstLine="400"/>
        <w:spacing w:line="360" w:lineRule="auto"/>
      </w:pPr>
      <w:r>
        <w:rPr>
          <w:rFonts w:hint="eastAsia"/>
        </w:rPr>
        <w:t xml:space="preserve">1.3、工艺路线学习功能</w:t>
      </w:r>
      <w:r/>
    </w:p>
    <w:p>
      <w:pPr>
        <w:ind w:firstLine="400"/>
        <w:spacing w:line="360" w:lineRule="auto"/>
      </w:pPr>
      <w:r>
        <w:rPr>
          <w:rFonts w:hint="eastAsia"/>
        </w:rPr>
        <w:t xml:space="preserve">（1）手动自由浏览：支持手动自主漫游，用户自主选择，可聚焦单设备、单工序开展精细化认知学习。</w:t>
      </w:r>
      <w:r/>
    </w:p>
    <w:p>
      <w:pPr>
        <w:ind w:firstLine="400"/>
        <w:spacing w:line="360" w:lineRule="auto"/>
      </w:pPr>
      <w:r>
        <w:rPr>
          <w:rFonts w:hint="eastAsia"/>
        </w:rPr>
        <w:t xml:space="preserve">（2）工艺联动讲解：工艺路线每一个关键节点配套标准化教学讲解内容，包含但不限于工序功能、工艺参数范围、操作注意事项、常见问题说明等，实现“场景浏览+工艺认知+知识点学习”一体化。</w:t>
      </w:r>
      <w:r/>
    </w:p>
    <w:p>
      <w:pPr>
        <w:ind w:firstLine="400"/>
        <w:spacing w:line="360" w:lineRule="auto"/>
      </w:pPr>
      <w:r>
        <w:rPr>
          <w:rFonts w:hint="eastAsia"/>
        </w:rPr>
        <w:t xml:space="preserve">★要求投标人提供全景认知案例的演示视频，时长不少于1分钟。要求不少于6个仿真工厂或实训基地全景认知的案例，要求包含多级目录架构；目录一键跳转定位，点击对应分级目录选项，可直接跳转至厂区整体、中控室、装置区等；手动自主漫游，用户自主选择，可聚焦单设备、单工序开展精细化认知学习。</w:t>
      </w:r>
      <w:r/>
    </w:p>
    <w:p>
      <w:pPr>
        <w:ind w:firstLine="400"/>
        <w:spacing w:line="360" w:lineRule="auto"/>
      </w:pPr>
      <w:r>
        <w:rPr>
          <w:rFonts w:hint="eastAsia"/>
        </w:rPr>
        <w:t xml:space="preserve">2、</w:t>
      </w:r>
      <w:bookmarkStart w:id="32" w:name="OLE_LINK15"/>
      <w:r>
        <w:rPr>
          <w:rFonts w:hint="eastAsia"/>
        </w:rPr>
        <w:t xml:space="preserve">数智仿真工厂实操3D虚拟仿真系统</w:t>
      </w:r>
      <w:bookmarkEnd w:id="32"/>
      <w:r/>
      <w:r/>
    </w:p>
    <w:p>
      <w:pPr>
        <w:ind w:firstLine="400"/>
        <w:spacing w:line="360" w:lineRule="auto"/>
      </w:pPr>
      <w:r>
        <w:rPr>
          <w:rFonts w:hint="eastAsia"/>
        </w:rPr>
        <w:t xml:space="preserve">2.1、整体建设要求</w:t>
      </w:r>
      <w:r/>
    </w:p>
    <w:p>
      <w:pPr>
        <w:ind w:firstLine="400"/>
        <w:spacing w:line="360" w:lineRule="auto"/>
      </w:pPr>
      <w:r>
        <w:rPr>
          <w:rFonts w:hint="eastAsia"/>
        </w:rPr>
        <w:t xml:space="preserve">以常减压-催化裂化智能石化工厂为原型，1:1还原现有仿真工厂的设备、管道、仪表、阀门等核心要素，工艺管路连接方式与仿真工厂保持一致，建立虚拟三维化工厂，该装置原设计原油加工能力为1500万吨/年。通过3D现场与DCS操作，模拟仿真工厂的现场和中控操作，实现智能化工厂的操作模拟。学员在3D场景中，可以对现场的阀门开关及调节、泵设备启停等操作，模拟外操操作，在DCS界面可以进行控制器的操作，模拟内操操作，完成装置的开车、停车、事故工况的处理等操作任务。能够满足学校日常教学、考核、技能大赛等各种需求。</w:t>
      </w:r>
      <w:r/>
    </w:p>
    <w:p>
      <w:pPr>
        <w:spacing w:line="360" w:lineRule="auto"/>
      </w:pPr>
      <w:r>
        <w:rPr>
          <w:rFonts w:hint="eastAsia"/>
        </w:rPr>
        <w:t xml:space="preserve">要求提供数智仿真工厂实操3D虚拟仿真系统中文版和英文版各1套。</w:t>
      </w:r>
      <w:r/>
    </w:p>
    <w:p>
      <w:pPr>
        <w:ind w:firstLine="400"/>
        <w:spacing w:line="360" w:lineRule="auto"/>
      </w:pPr>
      <w:r>
        <w:rPr>
          <w:rFonts w:hint="eastAsia"/>
        </w:rPr>
        <w:t xml:space="preserve">2.2、包含模块要求</w:t>
      </w:r>
      <w:r/>
    </w:p>
    <w:p>
      <w:pPr>
        <w:ind w:firstLine="400"/>
        <w:spacing w:line="360" w:lineRule="auto"/>
      </w:pPr>
      <w:r>
        <w:rPr>
          <w:rFonts w:hint="eastAsia"/>
        </w:rPr>
        <w:t xml:space="preserve">至少包含以下9个模块：</w:t>
      </w:r>
      <w:r/>
    </w:p>
    <w:p>
      <w:pPr>
        <w:ind w:firstLine="400"/>
        <w:spacing w:line="360" w:lineRule="auto"/>
      </w:pPr>
      <w:r>
        <w:rPr>
          <w:rFonts w:hint="eastAsia"/>
        </w:rPr>
        <w:t xml:space="preserve">(1)常减压3D虚拟仿真软件</w:t>
      </w:r>
      <w:r/>
    </w:p>
    <w:p>
      <w:pPr>
        <w:ind w:firstLine="400"/>
        <w:spacing w:line="360" w:lineRule="auto"/>
      </w:pPr>
      <w:r>
        <w:rPr>
          <w:rFonts w:hint="eastAsia"/>
        </w:rPr>
        <w:t xml:space="preserve">(2)脱盐换热和初馏工段3D虚拟仿真软件</w:t>
      </w:r>
      <w:r/>
    </w:p>
    <w:p>
      <w:pPr>
        <w:ind w:firstLine="400"/>
        <w:spacing w:line="360" w:lineRule="auto"/>
      </w:pPr>
      <w:r>
        <w:rPr>
          <w:rFonts w:hint="eastAsia"/>
        </w:rPr>
        <w:t xml:space="preserve">(3)常压炉和常压塔工段3D虚拟仿真软件</w:t>
      </w:r>
      <w:r/>
    </w:p>
    <w:p>
      <w:pPr>
        <w:ind w:firstLine="400"/>
        <w:spacing w:line="360" w:lineRule="auto"/>
      </w:pPr>
      <w:r>
        <w:rPr>
          <w:rFonts w:hint="eastAsia"/>
        </w:rPr>
        <w:t xml:space="preserve">(4)减压炉和减压塔工段3D虚拟仿真软件</w:t>
      </w:r>
      <w:r/>
    </w:p>
    <w:p>
      <w:pPr>
        <w:ind w:firstLine="400"/>
        <w:spacing w:line="360" w:lineRule="auto"/>
      </w:pPr>
      <w:r>
        <w:rPr>
          <w:rFonts w:hint="eastAsia"/>
        </w:rPr>
        <w:t xml:space="preserve">(5)催化裂化3D虚拟仿真软件</w:t>
      </w:r>
      <w:r/>
    </w:p>
    <w:p>
      <w:pPr>
        <w:ind w:firstLine="400"/>
        <w:spacing w:line="360" w:lineRule="auto"/>
      </w:pPr>
      <w:r>
        <w:rPr>
          <w:rFonts w:hint="eastAsia"/>
        </w:rPr>
        <w:t xml:space="preserve">(6)反应再生工段3D虚拟仿真软件</w:t>
      </w:r>
      <w:r/>
    </w:p>
    <w:p>
      <w:pPr>
        <w:ind w:firstLine="400"/>
        <w:spacing w:line="360" w:lineRule="auto"/>
      </w:pPr>
      <w:r>
        <w:rPr>
          <w:rFonts w:hint="eastAsia"/>
        </w:rPr>
        <w:t xml:space="preserve">(7)分馏工段3D虚拟仿真软件</w:t>
      </w:r>
      <w:r/>
    </w:p>
    <w:p>
      <w:pPr>
        <w:ind w:firstLine="400"/>
        <w:spacing w:line="360" w:lineRule="auto"/>
      </w:pPr>
      <w:r>
        <w:rPr>
          <w:rFonts w:hint="eastAsia"/>
        </w:rPr>
        <w:t xml:space="preserve">(8)吸收稳定工段3D虚拟仿真软件</w:t>
      </w:r>
      <w:r/>
    </w:p>
    <w:p>
      <w:pPr>
        <w:ind w:firstLine="400"/>
        <w:spacing w:line="360" w:lineRule="auto"/>
      </w:pPr>
      <w:r>
        <w:rPr>
          <w:rFonts w:hint="eastAsia"/>
        </w:rPr>
        <w:t xml:space="preserve">(9)常减压-催化裂化3D虚拟仿真软件</w:t>
      </w:r>
      <w:r/>
    </w:p>
    <w:p>
      <w:pPr>
        <w:ind w:firstLine="402"/>
        <w:spacing w:line="360" w:lineRule="auto"/>
        <w:rPr>
          <w:b/>
        </w:rPr>
      </w:pPr>
      <w:r>
        <w:rPr>
          <w:rFonts w:hint="eastAsia"/>
          <w:b/>
        </w:rPr>
        <w:t xml:space="preserve">2.3、工艺内容要求</w:t>
      </w:r>
      <w:r/>
    </w:p>
    <w:p>
      <w:pPr>
        <w:ind w:firstLine="402"/>
        <w:spacing w:line="360" w:lineRule="auto"/>
        <w:rPr>
          <w:b/>
        </w:rPr>
      </w:pPr>
      <w:r>
        <w:rPr>
          <w:rFonts w:hint="eastAsia"/>
          <w:b/>
        </w:rPr>
        <w:t xml:space="preserve">2.3.1常减压工艺内容要求</w:t>
      </w:r>
      <w:r/>
    </w:p>
    <w:p>
      <w:pPr>
        <w:ind w:firstLine="400"/>
        <w:spacing w:line="360" w:lineRule="auto"/>
      </w:pPr>
      <w:r>
        <w:rPr>
          <w:rFonts w:hint="eastAsia"/>
        </w:rPr>
        <w:t xml:space="preserve">常减压蒸馏装置是设计的三级蒸馏教学装置，即初馏塔-常压炉-常压塔-减压炉-减压塔两炉三塔流程。本装置是由原油电脱盐、常压蒸馏、减压蒸馏三部分组成的联合装置。本装置充分体现节能思想，利用系统的高温待冷却物料加热低温待加热物料。塔顶冷凝冷却、侧线冷却器冷却用水采用循环水。</w:t>
      </w:r>
      <w:r/>
    </w:p>
    <w:p>
      <w:pPr>
        <w:ind w:firstLine="400"/>
        <w:spacing w:line="360" w:lineRule="auto"/>
      </w:pPr>
      <w:r>
        <w:rPr>
          <w:rFonts w:hint="eastAsia"/>
        </w:rPr>
        <w:t xml:space="preserve">工艺流程由以下四个部分组成。</w:t>
      </w:r>
      <w:r/>
    </w:p>
    <w:p>
      <w:pPr>
        <w:ind w:firstLine="400"/>
        <w:spacing w:line="360" w:lineRule="auto"/>
      </w:pPr>
      <w:r>
        <w:rPr>
          <w:rFonts w:hint="eastAsia"/>
        </w:rPr>
        <w:t xml:space="preserve">（1）原油的换热和脱盐</w:t>
      </w:r>
      <w:r/>
    </w:p>
    <w:p>
      <w:pPr>
        <w:ind w:firstLine="400"/>
        <w:spacing w:line="360" w:lineRule="auto"/>
      </w:pPr>
      <w:r>
        <w:rPr>
          <w:rFonts w:hint="eastAsia"/>
        </w:rPr>
        <w:t xml:space="preserve">原油（35℃左右）由原油罐区经原油泵抽入装置，在泵出口注入一定量的破乳剂，经混合后，依次与常一中循环油、常二线产品、常三线产品、二次减底渣油进行换热105~145℃左右。</w:t>
      </w:r>
      <w:r/>
    </w:p>
    <w:p>
      <w:pPr>
        <w:spacing w:line="360" w:lineRule="auto"/>
      </w:pPr>
      <w:r>
        <w:rPr>
          <w:rFonts w:hint="eastAsia"/>
        </w:rPr>
        <w:t xml:space="preserve">脱前原油经换热后再与一定量的新鲜水进行混合后进入电脱盐罐进行脱盐处理。</w:t>
      </w:r>
      <w:r/>
    </w:p>
    <w:p>
      <w:pPr>
        <w:spacing w:line="360" w:lineRule="auto"/>
      </w:pPr>
      <w:r>
        <w:rPr>
          <w:rFonts w:hint="eastAsia"/>
        </w:rPr>
        <w:t xml:space="preserve">经过脱盐脱水的脱后原油，进一步与减底渣油换热升温至210℃左右进入初馏塔，进行原油拔头。</w:t>
      </w:r>
      <w:r/>
    </w:p>
    <w:p>
      <w:pPr>
        <w:ind w:firstLine="400"/>
        <w:spacing w:line="360" w:lineRule="auto"/>
      </w:pPr>
      <w:r>
        <w:rPr>
          <w:rFonts w:hint="eastAsia"/>
        </w:rPr>
        <w:t xml:space="preserve">（2）初馏塔系统和拔头原油的换热</w:t>
      </w:r>
      <w:r/>
    </w:p>
    <w:p>
      <w:pPr>
        <w:spacing w:line="360" w:lineRule="auto"/>
      </w:pPr>
      <w:r>
        <w:rPr>
          <w:rFonts w:hint="eastAsia"/>
        </w:rPr>
        <w:t xml:space="preserve">换热后的200℃左右的脱后原油进入初馏塔第1层塔盘上，进行分馏。塔顶油气经冷却器冷至40℃以下，注入初顶回流罐进行油水分离，分出的水排入含油污水沟，而低压瓦斯可直接排空或去常压炉烧掉。初顶油由初顶泵分两路送出，一路作塔顶冷回流，另一路与常顶油混合作为宽馏分汽油出装置。</w:t>
      </w:r>
      <w:r/>
    </w:p>
    <w:p>
      <w:pPr>
        <w:ind w:firstLine="400"/>
        <w:spacing w:line="360" w:lineRule="auto"/>
      </w:pPr>
      <w:r>
        <w:rPr>
          <w:rFonts w:hint="eastAsia"/>
        </w:rPr>
        <w:t xml:space="preserve">初馏塔底油经初底泵抽出至常压炉，并进入常压炉辐射室加热，加热至370℃左右进入常压塔进行常压分馏。</w:t>
      </w:r>
      <w:r/>
    </w:p>
    <w:p>
      <w:pPr>
        <w:ind w:firstLine="400"/>
        <w:spacing w:line="360" w:lineRule="auto"/>
      </w:pPr>
      <w:r>
        <w:rPr>
          <w:rFonts w:hint="eastAsia"/>
        </w:rPr>
        <w:t xml:space="preserve">（3）常压蒸馏</w:t>
      </w:r>
      <w:r/>
    </w:p>
    <w:p>
      <w:pPr>
        <w:spacing w:line="360" w:lineRule="auto"/>
      </w:pPr>
      <w:r>
        <w:rPr>
          <w:rFonts w:hint="eastAsia"/>
        </w:rPr>
        <w:t xml:space="preserve">初底油经常压炉加热至370℃左右进入常压塔进行分馏。塔顶油气经冷却器冷却至40℃进入常顶回流罐进行油、水分离，分出的水直接排入含油污水井。低压瓦斯供本装置加热炉作燃料。常顶汽油由常顶泵打出装置。</w:t>
      </w:r>
      <w:r/>
    </w:p>
    <w:p>
      <w:pPr>
        <w:ind w:firstLine="400"/>
        <w:spacing w:line="360" w:lineRule="auto"/>
      </w:pPr>
      <w:r>
        <w:rPr>
          <w:rFonts w:hint="eastAsia"/>
        </w:rPr>
        <w:t xml:space="preserve">常一线油由常压塔第8层塔盘馏出进入常一汽提塔，汽提油汽返回常压塔第7层上，常一线油经汽提后由常一泵抽出,再经换热后冷却至40℃左右进入常一产品罐。</w:t>
      </w:r>
      <w:r/>
    </w:p>
    <w:p>
      <w:pPr>
        <w:ind w:firstLine="400"/>
        <w:spacing w:line="360" w:lineRule="auto"/>
      </w:pPr>
      <w:r>
        <w:rPr>
          <w:rFonts w:hint="eastAsia"/>
        </w:rPr>
        <w:t xml:space="preserve">常压二线由常压塔第16层馏出，进入常二线汽提塔，汽提油汽返回常压塔第15层上，常压二线油汽提后由常二线泵抽出，与原油换热后进入常二线产品罐。</w:t>
      </w:r>
      <w:r/>
    </w:p>
    <w:p>
      <w:pPr>
        <w:ind w:firstLine="400"/>
        <w:spacing w:line="360" w:lineRule="auto"/>
      </w:pPr>
      <w:r>
        <w:rPr>
          <w:rFonts w:hint="eastAsia"/>
        </w:rPr>
        <w:t xml:space="preserve">常压三线油由常压塔第24层馏出，进入常三线汽提塔，汽提油汽返回常压塔第23层上，常压三线油汽提后由常三线泵抽出，经与原油换热后，进入常压三线产品罐。</w:t>
      </w:r>
      <w:r/>
    </w:p>
    <w:p>
      <w:pPr>
        <w:ind w:firstLine="400"/>
        <w:spacing w:line="360" w:lineRule="auto"/>
      </w:pPr>
      <w:r>
        <w:rPr>
          <w:rFonts w:hint="eastAsia"/>
        </w:rPr>
        <w:t xml:space="preserve">常压四线油从常压塔第28层馏出，进入常四线汽提塔，汽提油汽返回常压塔第27层上，常压四线油汽提后由常四线泵抽出，进入常减压油混合器。</w:t>
      </w:r>
      <w:r/>
    </w:p>
    <w:p>
      <w:pPr>
        <w:ind w:firstLine="400"/>
        <w:spacing w:line="360" w:lineRule="auto"/>
      </w:pPr>
      <w:r>
        <w:rPr>
          <w:rFonts w:hint="eastAsia"/>
        </w:rPr>
        <w:t xml:space="preserve">常压一中段回流由常一中油泵从常压塔第13层抽出，与原油换热后，打回常压塔第10层上。</w:t>
      </w:r>
      <w:r/>
    </w:p>
    <w:p>
      <w:pPr>
        <w:ind w:firstLine="400"/>
        <w:spacing w:line="360" w:lineRule="auto"/>
      </w:pPr>
      <w:r>
        <w:rPr>
          <w:rFonts w:hint="eastAsia"/>
        </w:rPr>
        <w:t xml:space="preserve">常压二中段回流由常二中油泵从常压塔第21层抽出，与冷却水换热后，打回常压塔19层塔盘上。</w:t>
      </w:r>
      <w:r/>
    </w:p>
    <w:p>
      <w:pPr>
        <w:ind w:firstLine="400"/>
        <w:spacing w:line="360" w:lineRule="auto"/>
      </w:pPr>
      <w:r>
        <w:rPr>
          <w:rFonts w:hint="eastAsia"/>
        </w:rPr>
        <w:t xml:space="preserve">常压塔底重油经常底泵打出,在减压炉辐射室加热到390℃左右进入减压塔进行分馏。</w:t>
      </w:r>
      <w:r/>
    </w:p>
    <w:p>
      <w:pPr>
        <w:ind w:firstLine="400"/>
        <w:spacing w:line="360" w:lineRule="auto"/>
      </w:pPr>
      <w:r>
        <w:rPr>
          <w:rFonts w:hint="eastAsia"/>
        </w:rPr>
        <w:t xml:space="preserve">（4）减压蒸馏</w:t>
      </w:r>
      <w:r/>
    </w:p>
    <w:p>
      <w:pPr>
        <w:ind w:firstLine="400"/>
        <w:spacing w:line="360" w:lineRule="auto"/>
      </w:pPr>
      <w:r>
        <w:rPr>
          <w:rFonts w:hint="eastAsia"/>
        </w:rPr>
        <w:t xml:space="preserve">常压塔底油经减压炉加热后进入减压塔进行减压分馏。减顶油汽由蒸汽喷射器抽出，经减顶油气冷却器冷凝冷却后，油水一并进入减顶油水分离罐分离切水。未冷凝部分放空或用真空火嘴引入减压炉烧掉。切出的水直排入含油污水沟，减顶汽油用减顶油泵打至减顶汽油罐。</w:t>
      </w:r>
      <w:r/>
    </w:p>
    <w:p>
      <w:pPr>
        <w:ind w:firstLine="400"/>
        <w:spacing w:line="360" w:lineRule="auto"/>
      </w:pPr>
      <w:r>
        <w:rPr>
          <w:rFonts w:hint="eastAsia"/>
        </w:rPr>
        <w:t xml:space="preserve">减压一线油用减一线泵由减压塔上部一线集油箱抽出，经减一冷却器冷却至40℃左右分两路：一路作回流；另一路并入常减压油混合器作催化裂化原料。</w:t>
      </w:r>
      <w:r/>
    </w:p>
    <w:p>
      <w:pPr>
        <w:ind w:firstLine="400"/>
        <w:spacing w:line="360" w:lineRule="auto"/>
      </w:pPr>
      <w:r>
        <w:rPr>
          <w:rFonts w:hint="eastAsia"/>
        </w:rPr>
        <w:t xml:space="preserve">减二线油用减二线油泵从减二线集油箱抽出，经减二冷却器冷却至40℃后分两路：一路回减压塔作减二回流，另一路并入常减压油混合器作催化裂化原料。</w:t>
      </w:r>
      <w:r/>
    </w:p>
    <w:p>
      <w:pPr>
        <w:ind w:firstLine="400"/>
        <w:spacing w:line="360" w:lineRule="auto"/>
      </w:pPr>
      <w:r>
        <w:rPr>
          <w:rFonts w:hint="eastAsia"/>
        </w:rPr>
        <w:t xml:space="preserve">减三线油用减三线泵从减三线集油箱抽出，经减三冷却器冷却至40℃后分两路：一路回减压塔作减三回流，另一路并入常减压油混合器作催化裂化原料。</w:t>
      </w:r>
      <w:r/>
    </w:p>
    <w:p>
      <w:pPr>
        <w:ind w:firstLine="400"/>
        <w:spacing w:line="360" w:lineRule="auto"/>
      </w:pPr>
      <w:r>
        <w:rPr>
          <w:rFonts w:hint="eastAsia"/>
        </w:rPr>
        <w:t xml:space="preserve">减底渣油经减底油泵打出，分三路。一路去减压炉，一路去常压炉，还有一路与脱盐油换热后继续与脱盐前原油二次换热，充分换热后一部分去常减压油混合器，剩下的去减底渣油罐。</w:t>
      </w:r>
      <w:r/>
    </w:p>
    <w:p>
      <w:pPr>
        <w:ind w:firstLine="400"/>
        <w:spacing w:line="360" w:lineRule="auto"/>
      </w:pPr>
      <w:r>
        <w:rPr>
          <w:rFonts w:hint="eastAsia"/>
        </w:rPr>
        <w:t xml:space="preserve">◆投标人应具备开发1500万吨/年以上常减压-催化裂化仿真系统的实力。需提供常减压工艺管道流程图和仪表流程图（P&amp;ID）。需提供常减压仿真DCS画面截图（包括常减压总貌图、脱盐换热DCS画面、初馏工段DCS画面、常压炉DCS画面、常压塔工段DCS画面、减压炉DCS画面、减压塔工段DCS画面）。需提供常减压仿真现场画面截图（包括脱盐换热现场画面、初馏工段现场画面、常压炉现场画面、常压塔工段现场画面、减压炉现场画面、减压塔工段现场画面）、需提供常减压辅操台界面截图，需提供常减压联锁画面截图。</w:t>
      </w:r>
      <w:r/>
    </w:p>
    <w:p>
      <w:pPr>
        <w:ind w:firstLine="400"/>
        <w:spacing w:line="360" w:lineRule="auto"/>
      </w:pPr>
      <w:r>
        <w:rPr>
          <w:rFonts w:hint="eastAsia"/>
        </w:rPr>
        <w:t xml:space="preserve">需提供与仿真工厂1:1建设的常减压3D软件中设备三维模型截图，要求包含但不限于初馏塔、常压塔、常一汽提塔、常二汽提塔、常三汽提塔、常四汽提塔、减压塔、常压炉、减压炉、原油罐、水罐、减底渣油罐、常三线油罐、常二线油罐、脱盐罐、初顶回流罐、常顶回流罐、常顶汽油罐、常一线油罐、减顶汽油罐、减顶油水分离罐、常二-原油换热器、常三-原油换热器、减一冷却器、减底渣油-原油换热器、常二中冷却器、减二冷却器、减三冷却器、减底渣油-脱盐后原油换热器、初顶油气冷却器、常顶油气冷却器等。</w:t>
      </w:r>
      <w:r/>
    </w:p>
    <w:p>
      <w:pPr>
        <w:ind w:firstLine="402"/>
        <w:spacing w:line="360" w:lineRule="auto"/>
        <w:rPr>
          <w:b/>
        </w:rPr>
      </w:pPr>
      <w:r>
        <w:rPr>
          <w:rFonts w:hint="eastAsia"/>
          <w:b/>
        </w:rPr>
        <w:t xml:space="preserve">2.3.2催化裂化工艺内容要求</w:t>
      </w:r>
      <w:r/>
    </w:p>
    <w:p>
      <w:pPr>
        <w:ind w:firstLine="400"/>
        <w:spacing w:line="360" w:lineRule="auto"/>
      </w:pPr>
      <w:r>
        <w:rPr>
          <w:rFonts w:hint="eastAsia"/>
        </w:rPr>
        <w:t xml:space="preserve">催化裂化装置年加工能力595万吨，原料组成为8.85%的常四线油、22.07%的减一线油、8.87%的减二线油、19.17%的减三线油、29.13%的减底油、0.60%的回炼油和0.31%的回炼油浆。装置由反再、分馏、吸收稳定等几部分组成。</w:t>
      </w:r>
      <w:r/>
    </w:p>
    <w:p>
      <w:pPr>
        <w:ind w:firstLine="400"/>
        <w:spacing w:line="360" w:lineRule="auto"/>
      </w:pPr>
      <w:r>
        <w:rPr>
          <w:rFonts w:hint="eastAsia"/>
        </w:rPr>
        <w:t xml:space="preserve">（1）反再系统工艺流程</w:t>
      </w:r>
      <w:r/>
    </w:p>
    <w:p>
      <w:pPr>
        <w:ind w:firstLine="400"/>
        <w:spacing w:line="360" w:lineRule="auto"/>
      </w:pPr>
      <w:r>
        <w:rPr>
          <w:rFonts w:hint="eastAsia"/>
        </w:rPr>
        <w:t xml:space="preserve">催化裂化装置新鲜进料由常四侧线油、减一侧线油、减二侧线油、减三侧线油、减压渣油五部分组成。常四侧线经流量控制阀FIC019调控后、减一侧线经流量控制阀FIC030调控后、减二侧线经流量控制阀FIC033调控后、减三侧线经流量控制阀FIC034调控后、减底油经流量控制阀FIC037调控后五路有一起进入常减压油混合器混合至原料缓冲罐与油浆换热至280℃，经原料油雾化喷嘴进入</w:t>
      </w:r>
      <w:r>
        <w:rPr>
          <w:rFonts w:hint="eastAsia"/>
        </w:rPr>
        <w:t xml:space="preserve">提升管反应器的下部反应区，部分回炼油与回炼油浆混合至温度350℃雾化后进入提升管的上部反应区，来自再生器（塔102）的高温催化剂（～700℃）从提升管下部进入提升管，与回炼的轻汽油接触，发生高温短接触时间迭合反应，并在预提升蒸汽的作用下，催化剂保持中等密度沿提升管匀速上升至提升管发生反应，来自再生器的高温催化剂从提升管下部进入提升管，经过提升管与催化原料反应后，从提升管反应器出来的油气向上进入旋流式快分装置，使催化剂与油气迅速分离，催化剂经过汽提蒸汽汽提后，最终分离出来的油气去分馏塔（塔201）。脱除绝大部</w:t>
      </w:r>
      <w:r>
        <w:rPr>
          <w:rFonts w:hint="eastAsia"/>
        </w:rPr>
        <w:t xml:space="preserve">分油气的催化剂经过待生斜管、待生滑阀进入烧焦罐下部进行快速烧焦，并烧去绝大多数的焦碳。半再生催化剂由烧焦罐内的烟气携带经分布板进入再生器进一步烧焦。在再生器中，催化剂分为三路：一路经再生斜管进入提升管反应器，完成反再系统的催化剂循环，该循环量大小由反应温度控制的再生滑阀开度进行控制；一路经外取热器上斜管进入外取热器，降温后的催化剂通过外取热器下斜管返回烧焦罐，该路循环量由烧焦罐床层温度控制外取热器下滑阀的开度来进行；另一路经循环斜管、滑阀进入烧焦罐，以提高烧焦罐的起燃温度，同时控制再生器的料位和烧焦罐密度。</w:t>
      </w:r>
      <w:r/>
    </w:p>
    <w:p>
      <w:pPr>
        <w:ind w:firstLine="400"/>
        <w:spacing w:line="360" w:lineRule="auto"/>
      </w:pPr>
      <w:r>
        <w:rPr>
          <w:rFonts w:hint="eastAsia"/>
        </w:rPr>
        <w:t xml:space="preserve">为了维持两器的热平衡，增大操作的灵活性，在再生器旁设置可调热量的外取热器，由再生器床层引出高温催化剂（700℃）流入外取热器后，经取热列管间自上向下流动，取热列管浸没于流化床内，管内走水，经换热后的催化剂通过斜管及外取热器下滑阀流入烧焦罐。</w:t>
      </w:r>
      <w:r/>
    </w:p>
    <w:p>
      <w:pPr>
        <w:ind w:firstLine="400"/>
        <w:spacing w:line="360" w:lineRule="auto"/>
      </w:pPr>
      <w:r>
        <w:rPr>
          <w:rFonts w:hint="eastAsia"/>
        </w:rPr>
        <w:t xml:space="preserve">主风机出口供给的主风经辅助燃烧室主风流量控制阀FIC105进入烧焦罐；再生器出口烟气进入烟气能量回收系统，经双动滑阀至余热锅炉回收余热后，最后经烟囱排放至大气。</w:t>
      </w:r>
      <w:r/>
    </w:p>
    <w:p>
      <w:pPr>
        <w:ind w:firstLine="400"/>
        <w:spacing w:line="360" w:lineRule="auto"/>
      </w:pPr>
      <w:r>
        <w:rPr>
          <w:rFonts w:hint="eastAsia"/>
        </w:rPr>
        <w:t xml:space="preserve">（2）分馏系统工艺流程</w:t>
      </w:r>
      <w:r/>
    </w:p>
    <w:p>
      <w:pPr>
        <w:ind w:firstLine="400"/>
        <w:spacing w:line="360" w:lineRule="auto"/>
      </w:pPr>
      <w:r>
        <w:rPr>
          <w:rFonts w:hint="eastAsia"/>
        </w:rPr>
        <w:t xml:space="preserve">来自沉降器的高温油气进入分馏塔人字挡板下部，经人字挡板与280℃的循环油浆逆流接触，油气自下向上被冷却洗涤。油气在塔盘上被切割精馏，自上而下分别是气体、粗汽油、轻柴油、重柴油、回炼油及油浆。为提供足够的内部回流和使塔负荷分配均匀并取出多余热量，分馏塔设有一个塔顶全回流及一个中段回流。</w:t>
      </w:r>
      <w:r/>
    </w:p>
    <w:p>
      <w:pPr>
        <w:ind w:firstLine="400"/>
        <w:spacing w:line="360" w:lineRule="auto"/>
      </w:pPr>
      <w:r>
        <w:rPr>
          <w:rFonts w:hint="eastAsia"/>
        </w:rPr>
        <w:t xml:space="preserve">分馏塔顶油气自分馏塔顶馏出进入分馏塔顶后冷却器（E202）冷却后进入油气分离器（V203）进行气液分离。容V203中的不凝气进入气体压缩机。冷凝的粗汽油用粗汽油泵P202加压后送往吸收稳定部分的吸收塔顶作吸收剂用，部分可做冷回流进入顶循线返塔。</w:t>
      </w:r>
      <w:r/>
    </w:p>
    <w:p>
      <w:pPr>
        <w:ind w:firstLine="400"/>
        <w:spacing w:line="360" w:lineRule="auto"/>
      </w:pPr>
      <w:r>
        <w:rPr>
          <w:rFonts w:hint="eastAsia"/>
        </w:rPr>
        <w:t xml:space="preserve">轻柴油由分馏塔（T201）自流入轻柴油汽提塔（T202），用蒸汽汽提后，由泵P204抽出，经换热器E208和冷却器E211冷却后送至再吸收塔（T302）作吸收剂。富吸收油从再吸收塔（T302）返回分馏塔。</w:t>
      </w:r>
      <w:r/>
    </w:p>
    <w:p>
      <w:pPr>
        <w:ind w:firstLine="400"/>
        <w:spacing w:line="360" w:lineRule="auto"/>
      </w:pPr>
      <w:r>
        <w:rPr>
          <w:rFonts w:hint="eastAsia"/>
        </w:rPr>
        <w:t xml:space="preserve">重柴油由分馏塔（T201）自流入重柴油汽提塔（T203），用蒸汽汽提后，由泵P206抽出，经空气冷却器E212和冷却器E213冷却后送至产品罐（V204）。</w:t>
      </w:r>
      <w:r/>
    </w:p>
    <w:p>
      <w:pPr>
        <w:ind w:firstLine="400"/>
        <w:spacing w:line="360" w:lineRule="auto"/>
      </w:pPr>
      <w:r>
        <w:rPr>
          <w:rFonts w:hint="eastAsia"/>
        </w:rPr>
        <w:t xml:space="preserve">回炼油由分馏塔（T201）自流入回炼油罐（V202），由泵P207抽出分为两路，一路返回分馏塔回流，一路作为回炼油回炼。</w:t>
      </w:r>
      <w:r/>
    </w:p>
    <w:p>
      <w:pPr>
        <w:ind w:firstLine="400"/>
        <w:spacing w:line="360" w:lineRule="auto"/>
      </w:pPr>
      <w:r>
        <w:rPr>
          <w:rFonts w:hint="eastAsia"/>
        </w:rPr>
        <w:t xml:space="preserve">油浆自分馏塔底部由油浆泵抽出后分为两路，一路与新鲜原料换热，另一路作为短路物料，两路物料汇合后又分两路，一路经过油浆蒸汽发生器后换热至280℃作为上回流油浆和下回流油浆，另一路经冷却器E213冷却后作为排除油浆。</w:t>
      </w:r>
      <w:r/>
    </w:p>
    <w:p>
      <w:pPr>
        <w:ind w:firstLine="400"/>
        <w:spacing w:line="360" w:lineRule="auto"/>
      </w:pPr>
      <w:r>
        <w:rPr>
          <w:rFonts w:hint="eastAsia"/>
        </w:rPr>
        <w:t xml:space="preserve">顶循环回流用顶循环回流泵（P203）由分馏塔顶集油箱抽出，温度为～150℃，经过流量控制FIC207经换热器E204换热后至90℃，返回至抽出板上侧。</w:t>
      </w:r>
      <w:r/>
    </w:p>
    <w:p>
      <w:pPr>
        <w:ind w:firstLine="400"/>
        <w:spacing w:line="360" w:lineRule="auto"/>
      </w:pPr>
      <w:r>
        <w:rPr>
          <w:rFonts w:hint="eastAsia"/>
        </w:rPr>
        <w:t xml:space="preserve">中段回流由泵P205从分馏塔中部抽出，先作为稳定塔底重沸器（E205）热源，然后进入解吸塔底换热器（E206）换热后，进入换热器（E207）与冷却水换热后返回至分馏塔。</w:t>
      </w:r>
      <w:r/>
    </w:p>
    <w:p>
      <w:pPr>
        <w:ind w:firstLine="400"/>
        <w:spacing w:line="360" w:lineRule="auto"/>
      </w:pPr>
      <w:r>
        <w:rPr>
          <w:rFonts w:hint="eastAsia"/>
        </w:rPr>
        <w:t xml:space="preserve">（3）稳定系统工艺流程</w:t>
      </w:r>
      <w:r/>
    </w:p>
    <w:p>
      <w:pPr>
        <w:ind w:firstLine="400"/>
        <w:spacing w:line="360" w:lineRule="auto"/>
      </w:pPr>
      <w:r>
        <w:rPr>
          <w:rFonts w:hint="eastAsia"/>
        </w:rPr>
        <w:t xml:space="preserve">从压缩机(C201)来的压缩富气，经气压机出口冷却器（E203）冷凝冷却后，进入气</w:t>
      </w:r>
      <w:r>
        <w:rPr>
          <w:rFonts w:hint="eastAsia"/>
        </w:rPr>
        <w:t xml:space="preserve">压机出口油气分离器(V301)，压缩油由泵P302抽出，经FIC304调控流量后进解吸塔，油气分离器中的气相进入吸收塔底部与自上而下的粗汽油逆流接触，吸收塔顶出来的气体进入再吸收塔进一步被吸收，部分轻柴油作为再吸收塔的吸收液，再吸收塔底液返回分馏塔侧线，再吸收塔顶干气作为产品出装置，吸收塔底液与压缩机后油气分离器分离出的液体合并进入解吸塔，解吸出干气返回压缩机出口处，解吸塔底液进入稳定塔，稳定塔顶蒸汽经过油气分离罐分离后，分离出的液态烃部分回流，部分作为产品出装置，稳定塔底的稳定汽油换热后出作为产品出装置。</w:t>
      </w:r>
      <w:r/>
    </w:p>
    <w:p>
      <w:pPr>
        <w:ind w:firstLine="400"/>
        <w:spacing w:line="360" w:lineRule="auto"/>
      </w:pPr>
      <w:r>
        <w:rPr>
          <w:rFonts w:hint="eastAsia"/>
        </w:rPr>
        <w:t xml:space="preserve">◆投标人应具备开发1500万吨/年以上常减压-催化裂化仿真系统的实力。需提供催化裂化工艺管道流程图和仪表流程图（P&amp;ID）。需提供催化裂化仿真DCS画面截图（包括催化裂化总貌图、反应再生DCS画面、分馏工段DCS画面、吸收工段DCS画面、解吸稳定工段DCS画面）。需提供催化裂化现场画面截图（包括反应工段现场画面、再生工段现场画面、分馏前工段现场画面、分馏工段现场画面、吸收工段现场画面、解吸稳定工段现场画面）。需提供催化裂化辅操台界面截图，需提供催</w:t>
      </w:r>
      <w:r>
        <w:rPr>
          <w:rFonts w:hint="eastAsia"/>
        </w:rPr>
        <w:t xml:space="preserve">化裂化联锁界面截图。需提供与仿真工厂1:1建设的催化裂化3D软件中设备三维模型截图，要求包含但不限于分馏塔、轻柴油汽提塔、重柴油汽提塔、吸收塔、再吸收塔、解吸塔、稳定塔、沉降室、再生器、提升管反应器、冷催化剂罐、热催化剂罐、催化裂化新鲜原料缓冲罐、回炼油罐、分顶油气分离罐、重柴油罐、外甩油浆罐、压缩机出口油气分离罐、外取热器、余热锅炉、油浆-裂化原料换热器、分顶冷却器、压缩机后冷器、分顶循冷却器、分中-稳定塔底换热器、分中-解吸塔底换热器、分中冷却器、轻柴-再吸收塔底换热器、油浆冷却器、催化-裂化开工炉等。</w:t>
      </w:r>
      <w:r/>
    </w:p>
    <w:p>
      <w:pPr>
        <w:ind w:firstLine="400"/>
        <w:spacing w:line="360" w:lineRule="auto"/>
      </w:pPr>
      <w:r>
        <w:rPr>
          <w:rFonts w:hint="eastAsia"/>
        </w:rPr>
        <w:t xml:space="preserve">2.4、培训项目要求</w:t>
      </w:r>
      <w:r/>
    </w:p>
    <w:p>
      <w:pPr>
        <w:ind w:firstLine="400"/>
        <w:spacing w:line="360" w:lineRule="auto"/>
      </w:pPr>
      <w:r>
        <w:rPr>
          <w:rFonts w:hint="eastAsia"/>
        </w:rPr>
        <w:t xml:space="preserve">（1）要求提供常减压装置开车培训项目，包含准备工作、引原油，建立冷循环、常压炉点火升温、减压炉点火升温、初馏塔顶建循环、常压塔建循环，开侧线、减压塔抽真空，开侧线、联锁投用、产品输出及系统投自动等不少于10个过程，操作步骤不少于300步，完整覆盖标准的开车流程，操作步骤数量应满足教学和考核的全面性要求。</w:t>
      </w:r>
      <w:r/>
    </w:p>
    <w:p>
      <w:pPr>
        <w:ind w:firstLine="400"/>
        <w:spacing w:line="360" w:lineRule="auto"/>
      </w:pPr>
      <w:r>
        <w:rPr>
          <w:rFonts w:hint="eastAsia"/>
        </w:rPr>
        <w:t xml:space="preserve">（2）要求提供常减压装置停车培训项目，包含联锁投旁路、原油降量、停电脱盐、降温，初馏塔停回流、常压塔停侧线、减压塔停侧线、常压炉，减压炉停工、退油等不少于8个过程，操作步骤不少于170步，完整覆盖标准的停车流程，操作步骤数量应满足教学和考核的全面性要求。</w:t>
      </w:r>
      <w:r/>
    </w:p>
    <w:p>
      <w:pPr>
        <w:ind w:firstLine="400"/>
        <w:spacing w:line="360" w:lineRule="auto"/>
      </w:pPr>
      <w:r>
        <w:rPr>
          <w:rFonts w:hint="eastAsia"/>
        </w:rPr>
        <w:t xml:space="preserve">（3）要求提供催化裂化装置开车培训项目，包含装置开工前准备工作、投用循环水、催化剂储罐V101装剂、吹扫，气密试压、点炉烘器、原料油开路循环、稳定系统引油循环、切断两器，赶空气，建立汽封、装催化剂，流化升温、反应喷油、分馏接收反应油气、接收富气，调整吸收稳定系统操作、反再系统稳态调整、分馏系统稳态调整、吸收稳定系统稳态调整、联锁投用等不少于16个过程，操作步骤不少于355步，完整覆盖标准的开车流程，操作步骤数量应满足教学和考核的全面性要求。</w:t>
      </w:r>
      <w:r/>
    </w:p>
    <w:p>
      <w:pPr>
        <w:ind w:firstLine="400"/>
        <w:spacing w:line="360" w:lineRule="auto"/>
      </w:pPr>
      <w:r>
        <w:rPr>
          <w:rFonts w:hint="eastAsia"/>
        </w:rPr>
        <w:t xml:space="preserve">（4）要求提供催化裂化装置停车培训项目，包含反再系统降量、分馏系统停工、吸收稳定系统停工、外取热器与余热锅炉停运、反应岗位卸催化剂等不少于5个过程，操作步骤不少于115步，完整覆盖标准的停车流程，操作步骤数量应满足教学和考核的全面性要求。</w:t>
      </w:r>
      <w:r/>
    </w:p>
    <w:p>
      <w:pPr>
        <w:ind w:firstLine="400"/>
        <w:spacing w:line="360" w:lineRule="auto"/>
      </w:pPr>
      <w:r>
        <w:rPr>
          <w:rFonts w:hint="eastAsia"/>
        </w:rPr>
        <w:t xml:space="preserve">◆要求投标人提供催化裂化装置反应再生工段的工艺参数的影响因素和调节方案，数量不少于7个、分馏工段的工艺参数的影响因素和调节方案，数量不少于7个、稳定工段的工艺参数的影响因素和调节方案，数量不少于6个。</w:t>
      </w:r>
      <w:r/>
    </w:p>
    <w:p>
      <w:pPr>
        <w:ind w:firstLine="400"/>
        <w:spacing w:line="360" w:lineRule="auto"/>
      </w:pPr>
      <w:r>
        <w:rPr>
          <w:rFonts w:hint="eastAsia"/>
        </w:rPr>
        <w:t xml:space="preserve">（5）提供常减压装置紧急事故培训项目，事故工况包含原油中断、电脱盐罐压力异常、初顶回流罐满液位、初底油泵抽空、常四线油泵故障、蒸汽中断等企业常见的典型事故类型，数量不少于15个。内容包括事故现象、事故原因、事故处理方案。</w:t>
      </w:r>
      <w:r/>
    </w:p>
    <w:p>
      <w:pPr>
        <w:ind w:firstLine="400"/>
        <w:spacing w:line="360" w:lineRule="auto"/>
      </w:pPr>
      <w:r>
        <w:rPr>
          <w:rFonts w:hint="eastAsia"/>
        </w:rPr>
        <w:t xml:space="preserve">（6）提供催化裂化装置紧急事故培训项目，事故工况包含停电事故、主风中断事故、原料油中断事故、分馏塔一中中断事故、富气中断事故等企业常见的典型事故类型，数量不少于10个。内容包括事故现象、事故原因、事故处理方案。</w:t>
      </w:r>
      <w:r/>
    </w:p>
    <w:p>
      <w:pPr>
        <w:ind w:firstLine="400"/>
        <w:spacing w:line="360" w:lineRule="auto"/>
      </w:pPr>
      <w:r>
        <w:rPr>
          <w:rFonts w:hint="eastAsia"/>
        </w:rPr>
        <w:t xml:space="preserve">2.5、联锁要求</w:t>
      </w:r>
      <w:r/>
    </w:p>
    <w:p>
      <w:pPr>
        <w:ind w:firstLine="400"/>
        <w:spacing w:line="360" w:lineRule="auto"/>
      </w:pPr>
      <w:r>
        <w:rPr>
          <w:rFonts w:hint="eastAsia"/>
        </w:rPr>
        <w:t xml:space="preserve">（1）提供常减压装置联锁说明，联锁数量不少于21个。内容包括联锁触发条件、触发结果、解除方法。</w:t>
      </w:r>
      <w:r/>
    </w:p>
    <w:p>
      <w:pPr>
        <w:ind w:firstLine="400"/>
        <w:spacing w:line="360" w:lineRule="auto"/>
      </w:pPr>
      <w:r>
        <w:rPr>
          <w:rFonts w:hint="eastAsia"/>
        </w:rPr>
        <w:t xml:space="preserve">（2）提供催化裂化装置联锁说明，联锁数量不少于10个。内容包括联锁触发条件、触发结果、解除方法。</w:t>
      </w:r>
      <w:r/>
    </w:p>
    <w:p>
      <w:pPr>
        <w:ind w:firstLine="400"/>
        <w:spacing w:line="360" w:lineRule="auto"/>
      </w:pPr>
      <w:r>
        <w:rPr>
          <w:rFonts w:hint="eastAsia"/>
        </w:rPr>
        <w:t xml:space="preserve">2.6、工艺建模要求</w:t>
      </w:r>
      <w:r/>
    </w:p>
    <w:p>
      <w:pPr>
        <w:ind w:firstLine="400"/>
        <w:spacing w:line="360" w:lineRule="auto"/>
      </w:pPr>
      <w:r>
        <w:rPr>
          <w:rFonts w:hint="eastAsia"/>
        </w:rPr>
        <w:t xml:space="preserve">（1）工艺模型要求</w:t>
      </w:r>
      <w:r/>
    </w:p>
    <w:p>
      <w:pPr>
        <w:ind w:firstLine="400"/>
        <w:spacing w:line="360" w:lineRule="auto"/>
      </w:pPr>
      <w:r>
        <w:rPr>
          <w:rFonts w:hint="eastAsia"/>
        </w:rPr>
        <w:t xml:space="preserve">仿真软件的工艺数据须以真实工业的企业设计生产指标为准，数据来源必须真实可靠，操作程序及事故处理方法必须以真实企业岗位操作规程为准。工艺模型设计必须能建立精确的工艺模型来模拟实际生产过程的工艺流程和岗位操作规程。</w:t>
      </w:r>
      <w:r/>
    </w:p>
    <w:p>
      <w:pPr>
        <w:ind w:firstLine="400"/>
        <w:spacing w:line="360" w:lineRule="auto"/>
      </w:pPr>
      <w:r>
        <w:rPr>
          <w:rFonts w:hint="eastAsia"/>
        </w:rPr>
        <w:t xml:space="preserve">（2）单元操作模型要求</w:t>
      </w:r>
      <w:r/>
    </w:p>
    <w:p>
      <w:pPr>
        <w:ind w:firstLine="400"/>
        <w:spacing w:line="360" w:lineRule="auto"/>
      </w:pPr>
      <w:r>
        <w:rPr>
          <w:rFonts w:hint="eastAsia"/>
        </w:rPr>
        <w:t xml:space="preserve">工艺模型设计软件对实际生产过程的单元操作设备机理建模，并生成逐个完整封装、以图标独立显示的单元操作模型。本模拟系统的开发基于过程的机理模型外，还需按照实际的工厂生产设备数据进行模拟计算。</w:t>
      </w:r>
      <w:r/>
    </w:p>
    <w:p>
      <w:pPr>
        <w:ind w:firstLine="200"/>
        <w:spacing w:line="360" w:lineRule="auto"/>
      </w:pPr>
      <w:r>
        <w:rPr>
          <w:rFonts w:hint="eastAsia"/>
        </w:rPr>
        <w:t xml:space="preserve">①精馏塔</w:t>
      </w:r>
      <w:r/>
    </w:p>
    <w:p>
      <w:pPr>
        <w:ind w:firstLine="400"/>
      </w:pPr>
      <w:r>
        <w:rPr>
          <w:rFonts w:hint="eastAsia"/>
        </w:rPr>
        <w:t xml:space="preserve">建模机理：气液平衡 + 精馏传质机理，专用于丙烯-丙烷高压分离。</w:t>
      </w:r>
      <w:r/>
    </w:p>
    <w:p>
      <w:pPr>
        <w:ind w:firstLine="400"/>
        <w:spacing w:line="360" w:lineRule="auto"/>
      </w:pPr>
      <w:r>
        <w:rPr>
          <w:rFonts w:hint="eastAsia"/>
        </w:rPr>
        <w:t xml:space="preserve">封装内容：平衡级模型、回流比、塔顶/塔底纯度、能耗计算。</w:t>
      </w:r>
      <w:r/>
    </w:p>
    <w:p>
      <w:pPr>
        <w:ind w:firstLine="400"/>
        <w:spacing w:line="360" w:lineRule="auto"/>
      </w:pPr>
      <w:r>
        <w:rPr>
          <w:rFonts w:hint="eastAsia"/>
        </w:rPr>
        <w:t xml:space="preserve">图标组态：立式精馏塔标准图标，独立显示。</w:t>
      </w:r>
      <w:r/>
    </w:p>
    <w:p>
      <w:pPr>
        <w:ind w:firstLine="200"/>
        <w:spacing w:line="360" w:lineRule="auto"/>
      </w:pPr>
      <w:r>
        <w:rPr>
          <w:rFonts w:hint="eastAsia"/>
        </w:rPr>
        <w:t xml:space="preserve">②闪蒸罐</w:t>
      </w:r>
      <w:r/>
    </w:p>
    <w:p>
      <w:pPr>
        <w:ind w:firstLine="400"/>
        <w:spacing w:line="360" w:lineRule="auto"/>
      </w:pPr>
      <w:r>
        <w:rPr>
          <w:rFonts w:hint="eastAsia"/>
        </w:rPr>
        <w:t xml:space="preserve">建模机理：绝热闪蒸+压力骤降气液分离机理。</w:t>
      </w:r>
      <w:r/>
    </w:p>
    <w:p>
      <w:pPr>
        <w:ind w:firstLine="400"/>
        <w:spacing w:line="360" w:lineRule="auto"/>
      </w:pPr>
      <w:r>
        <w:rPr>
          <w:rFonts w:hint="eastAsia"/>
        </w:rPr>
        <w:t xml:space="preserve">封装内容：闪蒸压力/温度、丙烯回收率、粉料残留单体计算。</w:t>
      </w:r>
      <w:r/>
    </w:p>
    <w:p>
      <w:pPr>
        <w:ind w:firstLine="400"/>
        <w:spacing w:line="360" w:lineRule="auto"/>
      </w:pPr>
      <w:r>
        <w:rPr>
          <w:rFonts w:hint="eastAsia"/>
        </w:rPr>
        <w:t xml:space="preserve">图标组态：立式闪蒸罐图标，独立显示。</w:t>
      </w:r>
      <w:r/>
    </w:p>
    <w:p>
      <w:pPr>
        <w:ind w:firstLine="200"/>
        <w:spacing w:line="360" w:lineRule="auto"/>
      </w:pPr>
      <w:r>
        <w:rPr>
          <w:rFonts w:hint="eastAsia"/>
        </w:rPr>
        <w:t xml:space="preserve">③管壳式换热器</w:t>
      </w:r>
      <w:r/>
    </w:p>
    <w:p>
      <w:pPr>
        <w:ind w:firstLine="400"/>
        <w:spacing w:line="360" w:lineRule="auto"/>
      </w:pPr>
      <w:r>
        <w:rPr>
          <w:rFonts w:hint="eastAsia"/>
        </w:rPr>
        <w:t xml:space="preserve">建模机理：传热速率方程 + 总传热系数 + 冷热流体温差机理。</w:t>
      </w:r>
      <w:r/>
    </w:p>
    <w:p>
      <w:pPr>
        <w:ind w:firstLine="400"/>
        <w:spacing w:line="360" w:lineRule="auto"/>
      </w:pPr>
      <w:r>
        <w:rPr>
          <w:rFonts w:hint="eastAsia"/>
        </w:rPr>
        <w:t xml:space="preserve">封装内容：换热面积、热负荷、出口温度、压力降模型。</w:t>
      </w:r>
      <w:r/>
    </w:p>
    <w:p>
      <w:pPr>
        <w:ind w:firstLine="400"/>
        <w:spacing w:line="360" w:lineRule="auto"/>
      </w:pPr>
      <w:r>
        <w:rPr>
          <w:rFonts w:hint="eastAsia"/>
        </w:rPr>
        <w:t xml:space="preserve">图标组态：管壳式换热器图标，独立显示。</w:t>
      </w:r>
      <w:r/>
    </w:p>
    <w:p>
      <w:pPr>
        <w:ind w:firstLine="200"/>
        <w:spacing w:line="360" w:lineRule="auto"/>
      </w:pPr>
      <w:r>
        <w:rPr>
          <w:rFonts w:hint="eastAsia"/>
        </w:rPr>
        <w:t xml:space="preserve">④离心泵</w:t>
      </w:r>
      <w:r/>
    </w:p>
    <w:p>
      <w:pPr>
        <w:ind w:firstLine="400"/>
        <w:spacing w:line="360" w:lineRule="auto"/>
      </w:pPr>
      <w:r>
        <w:rPr>
          <w:rFonts w:hint="eastAsia"/>
        </w:rPr>
        <w:t xml:space="preserve">建模机理：扬程 - 流量特性 + 管路阻力 + 汽蚀余量机理。</w:t>
      </w:r>
      <w:r/>
    </w:p>
    <w:p>
      <w:pPr>
        <w:ind w:firstLine="400"/>
        <w:spacing w:line="360" w:lineRule="auto"/>
      </w:pPr>
      <w:r>
        <w:rPr>
          <w:rFonts w:hint="eastAsia"/>
        </w:rPr>
        <w:t xml:space="preserve">封装内容：泵特性曲线、流量 / 压力调节、轴功率计算。</w:t>
      </w:r>
      <w:r/>
    </w:p>
    <w:p>
      <w:pPr>
        <w:ind w:firstLine="400"/>
        <w:spacing w:line="360" w:lineRule="auto"/>
      </w:pPr>
      <w:r>
        <w:rPr>
          <w:rFonts w:hint="eastAsia"/>
        </w:rPr>
        <w:t xml:space="preserve">图标组态：离心泵标准图标，独立显示。</w:t>
      </w:r>
      <w:r/>
    </w:p>
    <w:p>
      <w:pPr>
        <w:ind w:firstLine="200"/>
        <w:spacing w:line="360" w:lineRule="auto"/>
      </w:pPr>
      <w:r>
        <w:rPr>
          <w:rFonts w:hint="eastAsia"/>
        </w:rPr>
        <w:t xml:space="preserve">⑤循环压缩机</w:t>
      </w:r>
      <w:r/>
    </w:p>
    <w:p>
      <w:pPr>
        <w:ind w:firstLine="400"/>
        <w:spacing w:line="360" w:lineRule="auto"/>
      </w:pPr>
      <w:r>
        <w:rPr>
          <w:rFonts w:hint="eastAsia"/>
        </w:rPr>
        <w:t xml:space="preserve">建模机理：离心式压缩机理 + 压缩比 + 防喘振机理。</w:t>
      </w:r>
      <w:r/>
    </w:p>
    <w:p>
      <w:pPr>
        <w:ind w:firstLine="400"/>
        <w:spacing w:line="360" w:lineRule="auto"/>
      </w:pPr>
      <w:r>
        <w:rPr>
          <w:rFonts w:hint="eastAsia"/>
        </w:rPr>
        <w:t xml:space="preserve">封装内容：出口压力 / 温度、功耗、喘振边界控制模型。</w:t>
      </w:r>
      <w:r/>
    </w:p>
    <w:p>
      <w:pPr>
        <w:ind w:firstLine="400"/>
        <w:spacing w:line="360" w:lineRule="auto"/>
      </w:pPr>
      <w:r>
        <w:rPr>
          <w:rFonts w:hint="eastAsia"/>
        </w:rPr>
        <w:t xml:space="preserve">图标组态：压缩机图标，独立单元。</w:t>
      </w:r>
      <w:r/>
    </w:p>
    <w:p>
      <w:pPr>
        <w:ind w:firstLine="200"/>
        <w:spacing w:line="360" w:lineRule="auto"/>
      </w:pPr>
      <w:r>
        <w:rPr>
          <w:rFonts w:hint="eastAsia"/>
        </w:rPr>
        <w:t xml:space="preserve">⑥调节阀 / 开关阀</w:t>
      </w:r>
      <w:r/>
    </w:p>
    <w:p>
      <w:pPr>
        <w:ind w:firstLine="400"/>
        <w:spacing w:line="360" w:lineRule="auto"/>
      </w:pPr>
      <w:r>
        <w:rPr>
          <w:rFonts w:hint="eastAsia"/>
        </w:rPr>
        <w:t xml:space="preserve">建模机理：流量特性（线性 / 等百分比）+ 开度 - 流量耦合机理。</w:t>
      </w:r>
      <w:r/>
    </w:p>
    <w:p>
      <w:pPr>
        <w:ind w:firstLine="400"/>
        <w:spacing w:line="360" w:lineRule="auto"/>
      </w:pPr>
      <w:r>
        <w:rPr>
          <w:rFonts w:hint="eastAsia"/>
        </w:rPr>
        <w:t xml:space="preserve">封装内容：阀位调节、流量 / 压力控制、故障安全逻辑。</w:t>
      </w:r>
      <w:r/>
    </w:p>
    <w:p>
      <w:pPr>
        <w:ind w:firstLine="400"/>
        <w:spacing w:line="360" w:lineRule="auto"/>
      </w:pPr>
      <w:r>
        <w:rPr>
          <w:rFonts w:hint="eastAsia"/>
        </w:rPr>
        <w:t xml:space="preserve">图标组态：调节阀、开关阀独立图标，可视化阀位。</w:t>
      </w:r>
      <w:r/>
    </w:p>
    <w:p>
      <w:pPr>
        <w:ind w:firstLine="200"/>
        <w:spacing w:line="360" w:lineRule="auto"/>
      </w:pPr>
      <w:r>
        <w:rPr>
          <w:rFonts w:hint="eastAsia"/>
        </w:rPr>
        <w:t xml:space="preserve">⑦流化床干燥器</w:t>
      </w:r>
      <w:r/>
    </w:p>
    <w:p>
      <w:pPr>
        <w:ind w:firstLine="400"/>
        <w:spacing w:line="360" w:lineRule="auto"/>
      </w:pPr>
      <w:r>
        <w:rPr>
          <w:rFonts w:hint="eastAsia"/>
        </w:rPr>
        <w:t xml:space="preserve">建模机理：流化床传热传质 + 水分脱除机理。</w:t>
      </w:r>
      <w:r/>
    </w:p>
    <w:p>
      <w:pPr>
        <w:ind w:firstLine="400"/>
        <w:spacing w:line="360" w:lineRule="auto"/>
      </w:pPr>
      <w:r>
        <w:rPr>
          <w:rFonts w:hint="eastAsia"/>
        </w:rPr>
        <w:t xml:space="preserve">封装内容：干燥温度、热风流量、产品水分含量计算。</w:t>
      </w:r>
      <w:r/>
    </w:p>
    <w:p>
      <w:pPr>
        <w:ind w:firstLine="400"/>
        <w:spacing w:line="360" w:lineRule="auto"/>
      </w:pPr>
      <w:r>
        <w:rPr>
          <w:rFonts w:hint="eastAsia"/>
        </w:rPr>
        <w:t xml:space="preserve">图标组态：流化床干燥器图标，独立显示。</w:t>
      </w:r>
      <w:r/>
    </w:p>
    <w:p>
      <w:pPr>
        <w:ind w:firstLine="200"/>
        <w:spacing w:line="360" w:lineRule="auto"/>
      </w:pPr>
      <w:r>
        <w:rPr>
          <w:rFonts w:hint="eastAsia"/>
        </w:rPr>
        <w:t xml:space="preserve">2.7、三维场景要求</w:t>
      </w:r>
      <w:r/>
    </w:p>
    <w:p>
      <w:pPr>
        <w:ind w:firstLine="200"/>
        <w:spacing w:line="360" w:lineRule="auto"/>
      </w:pPr>
      <w:r>
        <w:rPr>
          <w:rFonts w:hint="eastAsia"/>
        </w:rPr>
        <w:t xml:space="preserve">2.7.1三维场景模型要求</w:t>
      </w:r>
      <w:r/>
    </w:p>
    <w:p>
      <w:pPr>
        <w:ind w:firstLine="400"/>
        <w:spacing w:line="360" w:lineRule="auto"/>
      </w:pPr>
      <w:r>
        <w:rPr>
          <w:rFonts w:hint="eastAsia"/>
        </w:rPr>
        <w:t xml:space="preserve">要求按照</w:t>
      </w:r>
      <w:bookmarkStart w:id="33" w:name="OLE_LINK4"/>
      <w:r>
        <w:rPr>
          <w:rFonts w:hint="eastAsia"/>
        </w:rPr>
        <w:t xml:space="preserve">常减压-催化裂化</w:t>
      </w:r>
      <w:bookmarkEnd w:id="33"/>
      <w:r>
        <w:rPr>
          <w:rFonts w:hint="eastAsia"/>
        </w:rPr>
        <w:t xml:space="preserve">智能石化工厂现场的生产设备、管线、仪表和安全设施等，以及设备布局现状为基准进行1:1开发，三维虚拟装置模型中的所有设备、设施在外形、尺寸、颜色、位置、材质、管线及连接关系、状态变化等方面的表现均应与实际装置完全一致，并能逼真地模拟对应的装置生产现场的物理环境、现场设备以及管线、仪表等设施的物理属性等。</w:t>
      </w:r>
      <w:r/>
    </w:p>
    <w:p>
      <w:pPr>
        <w:ind w:firstLine="400"/>
        <w:spacing w:line="360" w:lineRule="auto"/>
      </w:pPr>
      <w:r>
        <w:rPr>
          <w:rFonts w:hint="eastAsia"/>
        </w:rPr>
        <w:t xml:space="preserve">2.7.2三维仿真交互模型要求</w:t>
      </w:r>
      <w:r/>
    </w:p>
    <w:p>
      <w:pPr>
        <w:ind w:firstLine="400"/>
        <w:spacing w:line="360" w:lineRule="auto"/>
      </w:pPr>
      <w:r>
        <w:rPr>
          <w:rFonts w:hint="eastAsia"/>
        </w:rPr>
        <w:t xml:space="preserve">1）三维虚拟人物模型要求 </w:t>
      </w:r>
      <w:r/>
    </w:p>
    <w:p>
      <w:pPr>
        <w:ind w:firstLine="400"/>
        <w:spacing w:line="360" w:lineRule="auto"/>
      </w:pPr>
      <w:r>
        <w:rPr>
          <w:rFonts w:hint="eastAsia"/>
        </w:rPr>
        <w:t xml:space="preserve">要求按照常减压-催化裂化装置中的岗位设置和着装佩戴标准建立三维虚拟人物（操作角色）模型，并具有与实际接近的物理和行为属性。根据作业任务需要，设置包含装置的内操员、外操员、班长等角色，并实现虚拟人物在三维虚拟装置内的各种主体行为和交互操作功能。 </w:t>
      </w:r>
      <w:r/>
    </w:p>
    <w:p>
      <w:pPr>
        <w:ind w:firstLine="400"/>
        <w:spacing w:line="360" w:lineRule="auto"/>
      </w:pPr>
      <w:r>
        <w:rPr>
          <w:rFonts w:hint="eastAsia"/>
        </w:rPr>
        <w:t xml:space="preserve">2）虚拟交互操作模型要求 </w:t>
      </w:r>
      <w:r/>
    </w:p>
    <w:p>
      <w:pPr>
        <w:ind w:firstLine="400"/>
        <w:spacing w:line="360" w:lineRule="auto"/>
      </w:pPr>
      <w:r>
        <w:rPr>
          <w:rFonts w:hint="eastAsia"/>
        </w:rPr>
        <w:t xml:space="preserve">要求提供的三维交互操作模型能实现人与设备/设施之间、不同设备/设施之间、不同虚拟人物之间的三类交互操作功能及正确表现。采用3D角色扮演的操作模式，即每个使用者都通过三维虚拟现实控制技术虚拟人物的走、跑和操作各种设备来完成各类作业任务的过程。</w:t>
      </w:r>
      <w:r/>
    </w:p>
    <w:p>
      <w:pPr>
        <w:ind w:firstLine="400"/>
        <w:spacing w:line="360" w:lineRule="auto"/>
      </w:pPr>
      <w:r>
        <w:rPr>
          <w:rFonts w:hint="eastAsia"/>
        </w:rPr>
        <w:t xml:space="preserve">2.8、三维仿真软件功能要求</w:t>
      </w:r>
      <w:r/>
    </w:p>
    <w:p>
      <w:pPr>
        <w:ind w:firstLine="400"/>
        <w:spacing w:line="360" w:lineRule="auto"/>
      </w:pPr>
      <w:r>
        <w:rPr>
          <w:rFonts w:hint="eastAsia"/>
        </w:rPr>
        <w:t xml:space="preserve">知识点讲解</w:t>
      </w:r>
      <w:r/>
    </w:p>
    <w:p>
      <w:pPr>
        <w:ind w:firstLine="400"/>
        <w:spacing w:line="360" w:lineRule="auto"/>
      </w:pPr>
      <w:r>
        <w:rPr>
          <w:rFonts w:hint="eastAsia"/>
        </w:rPr>
        <w:t xml:space="preserve">①以文字或图片的形式分别对实训装置的知识点进行讲解。</w:t>
      </w:r>
      <w:r/>
    </w:p>
    <w:p>
      <w:pPr>
        <w:ind w:firstLine="400"/>
        <w:spacing w:line="360" w:lineRule="auto"/>
      </w:pPr>
      <w:r>
        <w:rPr>
          <w:rFonts w:hint="eastAsia"/>
        </w:rPr>
        <w:t xml:space="preserve">②知识点包含工艺原理、工艺流程等内容。</w:t>
      </w:r>
      <w:r/>
    </w:p>
    <w:p>
      <w:pPr>
        <w:ind w:firstLine="400"/>
        <w:spacing w:line="360" w:lineRule="auto"/>
      </w:pPr>
      <w:r>
        <w:rPr>
          <w:rFonts w:hint="eastAsia"/>
        </w:rPr>
        <w:t xml:space="preserve">③知识点内容完整完善，符合实际生产操作的要求，满足教学需求。</w:t>
      </w:r>
      <w:r/>
    </w:p>
    <w:p>
      <w:pPr>
        <w:ind w:firstLine="400"/>
        <w:spacing w:line="360" w:lineRule="auto"/>
      </w:pPr>
      <w:r>
        <w:rPr>
          <w:rFonts w:hint="eastAsia"/>
        </w:rPr>
        <w:t xml:space="preserve">查找功能</w:t>
      </w:r>
      <w:r/>
    </w:p>
    <w:p>
      <w:pPr>
        <w:ind w:firstLine="400"/>
        <w:spacing w:line="360" w:lineRule="auto"/>
      </w:pPr>
      <w:r>
        <w:rPr>
          <w:rFonts w:hint="eastAsia"/>
        </w:rPr>
        <w:t xml:space="preserve">①输入需要查找的阀门或仪表，显示查找到的阀门或仪表，提供路线指引或直接移动至查找的阀门或仪表，方便查找设备部件或操作。</w:t>
      </w:r>
      <w:r/>
    </w:p>
    <w:p>
      <w:pPr>
        <w:ind w:firstLine="400"/>
        <w:spacing w:line="360" w:lineRule="auto"/>
      </w:pPr>
      <w:r>
        <w:rPr>
          <w:rFonts w:hint="eastAsia"/>
        </w:rPr>
        <w:t xml:space="preserve">②当移动到目标阀门附近时，鼠标悬停在阀门上，显示阀门位号，点击后进行开关操作，同时阀门手轮或手柄会相应转动。</w:t>
      </w:r>
      <w:r/>
    </w:p>
    <w:p>
      <w:pPr>
        <w:ind w:firstLine="400"/>
        <w:spacing w:line="360" w:lineRule="auto"/>
      </w:pPr>
      <w:r>
        <w:rPr>
          <w:rFonts w:hint="eastAsia"/>
        </w:rPr>
        <w:t xml:space="preserve">③当移动到目标仪表附近时，鼠标悬停在仪表上，显示仪表类型与位号，点击进入仪表显示界面。仪表数值显示与DCS界面一致。</w:t>
      </w:r>
      <w:r/>
    </w:p>
    <w:p>
      <w:pPr>
        <w:ind w:firstLine="400"/>
        <w:spacing w:line="360" w:lineRule="auto"/>
      </w:pPr>
      <w:r>
        <w:rPr>
          <w:rFonts w:hint="eastAsia"/>
        </w:rPr>
        <w:t xml:space="preserve">帮助</w:t>
      </w:r>
      <w:r/>
    </w:p>
    <w:p>
      <w:pPr>
        <w:ind w:firstLine="400"/>
        <w:spacing w:line="360" w:lineRule="auto"/>
      </w:pPr>
      <w:r>
        <w:rPr>
          <w:rFonts w:hint="eastAsia"/>
        </w:rPr>
        <w:t xml:space="preserve">软件操作的帮助指导，键盘、鼠标的基本操作说明。</w:t>
      </w:r>
      <w:r/>
    </w:p>
    <w:p>
      <w:pPr>
        <w:ind w:firstLine="400"/>
        <w:spacing w:line="360" w:lineRule="auto"/>
      </w:pPr>
      <w:r>
        <w:rPr>
          <w:rFonts w:hint="eastAsia"/>
        </w:rPr>
        <w:t xml:space="preserve">设置</w:t>
      </w:r>
      <w:r/>
    </w:p>
    <w:p>
      <w:pPr>
        <w:ind w:firstLine="400"/>
        <w:spacing w:line="360" w:lineRule="auto"/>
      </w:pPr>
      <w:r>
        <w:rPr>
          <w:rFonts w:hint="eastAsia"/>
        </w:rPr>
        <w:t xml:space="preserve">可以对声音、画质、分辨率等进行设置。</w:t>
      </w:r>
      <w:r/>
    </w:p>
    <w:p>
      <w:pPr>
        <w:ind w:firstLine="400"/>
        <w:spacing w:line="360" w:lineRule="auto"/>
      </w:pPr>
      <w:r>
        <w:rPr>
          <w:rFonts w:hint="eastAsia"/>
        </w:rPr>
        <w:t xml:space="preserve">以第三人称视角，仿真画面要求分辨率1920×1080以上，画面需清晰，流畅。</w:t>
      </w:r>
      <w:r/>
    </w:p>
    <w:p>
      <w:pPr>
        <w:ind w:firstLine="400"/>
        <w:spacing w:line="360" w:lineRule="auto"/>
      </w:pPr>
      <w:r>
        <w:rPr>
          <w:rFonts w:hint="eastAsia"/>
        </w:rPr>
        <w:t xml:space="preserve">有良好的系统兼容性，可以在操作系统Windows7/10/11、32位和64位下运行。</w:t>
      </w:r>
      <w:r/>
    </w:p>
    <w:p>
      <w:pPr>
        <w:ind w:firstLine="400"/>
        <w:spacing w:line="360" w:lineRule="auto"/>
      </w:pPr>
      <w:r>
        <w:rPr>
          <w:rFonts w:hint="eastAsia"/>
        </w:rPr>
        <w:t xml:space="preserve">2.9、学员站软件要求</w:t>
      </w:r>
      <w:r/>
    </w:p>
    <w:p>
      <w:pPr>
        <w:ind w:firstLine="400"/>
        <w:spacing w:line="360" w:lineRule="auto"/>
      </w:pPr>
      <w:r>
        <w:rPr>
          <w:rFonts w:hint="eastAsia"/>
        </w:rPr>
        <w:t xml:space="preserve">要求学员站支持进行模拟DCS操作、现场操作以及操作指导及评价系统功能外，还需支持培训内容选择、冻结与解冻、报警显示、多种DCS风格的模拟、仿真时钟设置、网络化运行接口等功能。</w:t>
      </w:r>
      <w:r/>
    </w:p>
    <w:p>
      <w:pPr>
        <w:ind w:firstLine="400"/>
        <w:spacing w:line="360" w:lineRule="auto"/>
      </w:pPr>
      <w:r>
        <w:rPr>
          <w:rFonts w:hint="eastAsia"/>
        </w:rPr>
        <w:t xml:space="preserve">培训内容选择</w:t>
      </w:r>
      <w:r/>
    </w:p>
    <w:p>
      <w:pPr>
        <w:ind w:firstLine="400"/>
        <w:spacing w:line="360" w:lineRule="auto"/>
      </w:pPr>
      <w:r>
        <w:rPr>
          <w:rFonts w:hint="eastAsia"/>
        </w:rPr>
        <w:t xml:space="preserve">培训项目选择：在培训项目的列表里选择任一培训项目进行培训；</w:t>
      </w:r>
      <w:r/>
    </w:p>
    <w:p>
      <w:pPr>
        <w:ind w:firstLine="400"/>
        <w:spacing w:line="360" w:lineRule="auto"/>
      </w:pPr>
      <w:r>
        <w:rPr>
          <w:rFonts w:hint="eastAsia"/>
        </w:rPr>
        <w:t xml:space="preserve">培训内容选择：能对培训内容，诸如开车操作、停车操作、可燃气体泄露、有毒气体泄露事故、化工设备（压力容器、压力管道）超压报警、超温报警的事故的模拟与应急处理操作等进行选择的功能。</w:t>
      </w:r>
      <w:r/>
    </w:p>
    <w:p>
      <w:pPr>
        <w:ind w:firstLine="400"/>
        <w:spacing w:line="360" w:lineRule="auto"/>
      </w:pPr>
      <w:r>
        <w:rPr>
          <w:rFonts w:hint="eastAsia"/>
        </w:rPr>
        <w:t xml:space="preserve">冻结与解冻</w:t>
      </w:r>
      <w:r/>
    </w:p>
    <w:p>
      <w:pPr>
        <w:ind w:firstLine="400"/>
        <w:spacing w:line="360" w:lineRule="auto"/>
      </w:pPr>
      <w:r>
        <w:rPr>
          <w:rFonts w:hint="eastAsia"/>
        </w:rPr>
        <w:t xml:space="preserve">点击冻结按钮，操作暂停，所有数据保持不变状态，直到解冻为止。</w:t>
      </w:r>
      <w:r/>
    </w:p>
    <w:p>
      <w:pPr>
        <w:ind w:firstLine="400"/>
        <w:spacing w:line="360" w:lineRule="auto"/>
      </w:pPr>
      <w:r>
        <w:rPr>
          <w:rFonts w:hint="eastAsia"/>
        </w:rPr>
        <w:t xml:space="preserve">点击解冻按钮，操作继续运行。</w:t>
      </w:r>
      <w:r/>
    </w:p>
    <w:p>
      <w:pPr>
        <w:ind w:firstLine="400"/>
        <w:spacing w:line="360" w:lineRule="auto"/>
      </w:pPr>
      <w:r>
        <w:rPr>
          <w:rFonts w:hint="eastAsia"/>
        </w:rPr>
        <w:t xml:space="preserve">报警显示：</w:t>
      </w:r>
      <w:r/>
    </w:p>
    <w:p>
      <w:pPr>
        <w:ind w:firstLine="400"/>
        <w:spacing w:line="360" w:lineRule="auto"/>
      </w:pPr>
      <w:r>
        <w:rPr>
          <w:rFonts w:hint="eastAsia"/>
        </w:rPr>
        <w:t xml:space="preserve">具有与DCS系统相同的报警显示功能。当每个的报警点数据达到触发值后，系统自动报警，包括高/低/高高/低低报警。</w:t>
      </w:r>
      <w:r/>
    </w:p>
    <w:p>
      <w:pPr>
        <w:ind w:firstLine="400"/>
        <w:spacing w:line="360" w:lineRule="auto"/>
      </w:pPr>
      <w:r>
        <w:rPr>
          <w:rFonts w:hint="eastAsia"/>
        </w:rPr>
        <w:t xml:space="preserve">多种DCS风格的模拟</w:t>
      </w:r>
      <w:r/>
    </w:p>
    <w:p>
      <w:pPr>
        <w:ind w:firstLine="400"/>
        <w:spacing w:line="360" w:lineRule="auto"/>
      </w:pPr>
      <w:r>
        <w:rPr>
          <w:rFonts w:hint="eastAsia"/>
        </w:rPr>
        <w:t xml:space="preserve">具有多种以上形式的DCS风格，至少包括常见的通用DCS、IA、cs3000、TDC3000、winCC等。</w:t>
      </w:r>
      <w:r/>
    </w:p>
    <w:p>
      <w:pPr>
        <w:ind w:firstLine="400"/>
        <w:spacing w:line="360" w:lineRule="auto"/>
      </w:pPr>
      <w:r>
        <w:rPr>
          <w:rFonts w:hint="eastAsia"/>
        </w:rPr>
        <w:t xml:space="preserve">仿真时钟设置</w:t>
      </w:r>
      <w:r/>
    </w:p>
    <w:p>
      <w:pPr>
        <w:ind w:firstLine="400"/>
        <w:spacing w:line="360" w:lineRule="auto"/>
      </w:pPr>
      <w:r>
        <w:rPr>
          <w:rFonts w:hint="eastAsia"/>
        </w:rPr>
        <w:t xml:space="preserve">为了配合教学使用，数学模型运算速度可调。需要具有多档调节。</w:t>
      </w:r>
      <w:r/>
    </w:p>
    <w:p>
      <w:pPr>
        <w:ind w:firstLine="400"/>
        <w:spacing w:line="360" w:lineRule="auto"/>
      </w:pPr>
      <w:r>
        <w:rPr>
          <w:rFonts w:hint="eastAsia"/>
        </w:rPr>
        <w:t xml:space="preserve">网络化运行接口</w:t>
      </w:r>
      <w:r/>
    </w:p>
    <w:p>
      <w:pPr>
        <w:ind w:firstLine="400"/>
        <w:spacing w:line="360" w:lineRule="auto"/>
      </w:pPr>
      <w:r>
        <w:rPr>
          <w:rFonts w:hint="eastAsia"/>
        </w:rPr>
        <w:t xml:space="preserve">有网络化运行的接口，根据用户的需要可以将仿真软件在互联网上运行，具有支持移动互联网扩展接入功能。并且在线客户端支持自动分配IP地址，不可以是静态IP地址。</w:t>
      </w:r>
      <w:r/>
    </w:p>
    <w:p>
      <w:pPr>
        <w:ind w:firstLine="400"/>
        <w:spacing w:line="360" w:lineRule="auto"/>
      </w:pPr>
      <w:r>
        <w:rPr>
          <w:rFonts w:hint="eastAsia"/>
        </w:rPr>
        <w:t xml:space="preserve">操作指导及评价系统功能</w:t>
      </w:r>
      <w:r/>
    </w:p>
    <w:p>
      <w:pPr>
        <w:ind w:firstLine="400"/>
        <w:spacing w:line="360" w:lineRule="auto"/>
      </w:pPr>
      <w:r>
        <w:rPr>
          <w:rFonts w:hint="eastAsia"/>
        </w:rPr>
        <w:t xml:space="preserve">操作指导评价系统软件是培训系统的辅助系统软件，用于对使用者的操作过程进行指导和操作结果的自动评价，根据装置操作规程、设备的操作要求、技能操作经验、工艺指标控制要求，以及能耗效率要求等规则开发，同时可加入对于违章操作、超限指标、能耗水平的评价。通过实时双向推理、逻辑判断学员的操作情况与装置运行情况，实现操作方法指导、操作进程指示、操作结果评定等功能。操作指导评价系统支持“分级”功能，指导和评价的细</w:t>
      </w:r>
      <w:r>
        <w:rPr>
          <w:rFonts w:hint="eastAsia"/>
        </w:rPr>
        <w:t xml:space="preserve">项内容、要求、权重都可以按照级别设置，以便对不同类型和技能等级的人员制定更有针对性的培训和考核方案。操作指导评价系统的界面开关可以由教师站软件控制，教师可以根据需要隐藏或显示学员操作指导评价系统界面。学员操作评价档案可以保存在一个指定路径下的自定义名称文件夹中，以用于统计、分析等后续处理。操作评价系统根据操作规程和实际生产操作经验进行开发，对学生在界面上的每一步有效操作进行记录和评价。评分类型包括针对时序操作的步骤评分、对参数控制的质量评分、对过程操作的趋势评分和对违规操作的扣分等。充分体现科学和公平原则。</w:t>
      </w:r>
      <w:r/>
    </w:p>
    <w:p>
      <w:pPr>
        <w:ind w:firstLine="400"/>
        <w:spacing w:line="360" w:lineRule="auto"/>
      </w:pPr>
      <w:r>
        <w:rPr>
          <w:rFonts w:hint="eastAsia"/>
        </w:rPr>
        <w:t xml:space="preserve">软件需要辅助系统评分软件对学生的操作进行记录，能生成并导出或打印成绩单。</w:t>
      </w:r>
      <w:r/>
    </w:p>
    <w:p>
      <w:pPr>
        <w:ind w:firstLine="400"/>
        <w:spacing w:line="360" w:lineRule="auto"/>
      </w:pPr>
      <w:r>
        <w:rPr>
          <w:rFonts w:hint="eastAsia"/>
        </w:rPr>
        <w:t xml:space="preserve">评分系统主要包括步骤评分、质量评分、扣分等。</w:t>
      </w:r>
      <w:r/>
    </w:p>
    <w:p>
      <w:pPr>
        <w:ind w:firstLine="400"/>
        <w:spacing w:line="360" w:lineRule="auto"/>
      </w:pPr>
      <w:r>
        <w:rPr>
          <w:rFonts w:hint="eastAsia"/>
        </w:rPr>
        <w:t xml:space="preserve">对实训开停车步骤操作顺序、及时性进行评价。</w:t>
      </w:r>
      <w:r/>
    </w:p>
    <w:p>
      <w:pPr>
        <w:ind w:firstLine="400"/>
        <w:spacing w:line="360" w:lineRule="auto"/>
      </w:pPr>
      <w:r>
        <w:rPr>
          <w:rFonts w:hint="eastAsia"/>
        </w:rPr>
        <w:t xml:space="preserve">对实训开停车工艺厂参数的操作顺序、参数调节的及时性、有效性进行评价。</w:t>
      </w:r>
      <w:r/>
    </w:p>
    <w:p>
      <w:pPr>
        <w:ind w:firstLine="400"/>
        <w:spacing w:line="360" w:lineRule="auto"/>
      </w:pPr>
      <w:r>
        <w:rPr>
          <w:rFonts w:hint="eastAsia"/>
        </w:rPr>
        <w:t xml:space="preserve">评价系统注重质量评分。</w:t>
      </w:r>
      <w:r/>
    </w:p>
    <w:p>
      <w:pPr>
        <w:ind w:firstLine="400"/>
        <w:spacing w:line="360" w:lineRule="auto"/>
      </w:pPr>
      <w:r>
        <w:rPr>
          <w:rFonts w:hint="eastAsia"/>
        </w:rPr>
        <w:t xml:space="preserve">关键步骤需要严格按照操作顺序条件。</w:t>
      </w:r>
      <w:r/>
    </w:p>
    <w:p>
      <w:pPr>
        <w:ind w:firstLine="400"/>
        <w:spacing w:line="360" w:lineRule="auto"/>
      </w:pPr>
      <w:r>
        <w:rPr>
          <w:rFonts w:hint="eastAsia"/>
        </w:rPr>
        <w:t xml:space="preserve">通讯功能</w:t>
      </w:r>
      <w:r/>
    </w:p>
    <w:p>
      <w:pPr>
        <w:ind w:firstLine="400"/>
        <w:spacing w:line="360" w:lineRule="auto"/>
      </w:pPr>
      <w:r>
        <w:rPr>
          <w:rFonts w:hint="eastAsia"/>
        </w:rPr>
        <w:t xml:space="preserve">与教师站通过局域网连接通讯，实时上传当前软件操作成绩；可以选择单击或局域网模式登录；可调节软件运行后的屏幕显示比例；可以实时查询当前操作得分。</w:t>
      </w:r>
      <w:r/>
    </w:p>
    <w:p>
      <w:pPr>
        <w:ind w:firstLine="400"/>
        <w:spacing w:line="360" w:lineRule="auto"/>
      </w:pPr>
      <w:r>
        <w:rPr>
          <w:rFonts w:hint="eastAsia"/>
        </w:rPr>
        <w:t xml:space="preserve">3、</w:t>
      </w:r>
      <w:bookmarkStart w:id="34" w:name="OLE_LINK16"/>
      <w:r>
        <w:rPr>
          <w:rFonts w:hint="eastAsia"/>
        </w:rPr>
        <w:t xml:space="preserve">制造执行智能虚拟仿真系统</w:t>
      </w:r>
      <w:bookmarkEnd w:id="34"/>
      <w:r/>
      <w:r/>
    </w:p>
    <w:p>
      <w:pPr>
        <w:ind w:firstLine="400"/>
        <w:spacing w:line="360" w:lineRule="auto"/>
      </w:pPr>
      <w:r>
        <w:rPr>
          <w:rFonts w:hint="eastAsia"/>
        </w:rPr>
        <w:t xml:space="preserve">3.1、整体建设要求</w:t>
      </w:r>
      <w:r/>
    </w:p>
    <w:p>
      <w:pPr>
        <w:ind w:firstLine="400"/>
        <w:spacing w:line="360" w:lineRule="auto"/>
      </w:pPr>
      <w:r>
        <w:rPr>
          <w:rFonts w:hint="eastAsia"/>
        </w:rPr>
        <w:t xml:space="preserve">制造执行智能虚拟仿真系统（MES仿真系统），主要通过结合常减压催化裂化3D虚拟仿真软件，模拟生产相关数据的采集、组织、整理、分析和集成，建立从计划到指令、执行、反馈、归档的生产执行工作步骤，实现构建智慧工厂基于MES系统的典型工作场景的目的，满足装置智能化体验与认知的项目任务化教学需求。</w:t>
      </w:r>
      <w:r/>
    </w:p>
    <w:p>
      <w:pPr>
        <w:ind w:firstLine="400"/>
        <w:spacing w:line="360" w:lineRule="auto"/>
      </w:pPr>
      <w:r>
        <w:rPr>
          <w:rFonts w:hint="eastAsia"/>
        </w:rPr>
        <w:t xml:space="preserve">要求制造执行智能系统（MES系统）至少包含8种模块，包含但不限于：计划执行管理模块、生产调度管理模块、设备管理模块、产品质量管理模块、物料管理模块、人员信息管理模块、模型管理模块、数据展示模块。</w:t>
      </w:r>
      <w:r/>
    </w:p>
    <w:p>
      <w:pPr>
        <w:ind w:firstLine="400"/>
        <w:spacing w:line="360" w:lineRule="auto"/>
      </w:pPr>
      <w:r>
        <w:rPr>
          <w:rFonts w:hint="eastAsia"/>
        </w:rPr>
        <w:t xml:space="preserve">要求提供制造执行智能虚拟仿真系统中文版和英文版各1套。</w:t>
      </w:r>
      <w:r/>
    </w:p>
    <w:p>
      <w:pPr>
        <w:ind w:firstLine="800"/>
        <w:spacing w:line="360" w:lineRule="auto"/>
      </w:pPr>
      <w:r>
        <w:rPr>
          <w:rFonts w:hint="eastAsia"/>
        </w:rPr>
        <w:t xml:space="preserve">3.2、模块功能要求</w:t>
      </w:r>
      <w:r/>
    </w:p>
    <w:p>
      <w:pPr>
        <w:ind w:firstLine="800"/>
        <w:spacing w:line="360" w:lineRule="auto"/>
      </w:pPr>
      <w:r>
        <w:rPr>
          <w:rFonts w:hint="eastAsia"/>
        </w:rPr>
        <w:t xml:space="preserve">3.2.1计划执行管理模块要求</w:t>
      </w:r>
      <w:r/>
    </w:p>
    <w:p>
      <w:pPr>
        <w:ind w:firstLine="400"/>
        <w:spacing w:line="360" w:lineRule="auto"/>
      </w:pPr>
      <w:r>
        <w:rPr>
          <w:rFonts w:hint="eastAsia"/>
        </w:rPr>
        <w:t xml:space="preserve">要求包含但不限于对生产计划、检维修计划、采购计划等进行管理和控制等3类或以上的信息内容管理，确保各类生产相关计划的顺利执行。计划执行管理模块要求可以实现基于MES系统的计划跟踪和计划执行管理，培养学生利用计划执行管理模块制定并落实生产计划的“精益管理”能力，能够模拟企业实际生产计划编制、调整、优化流程，通过与多个生产要素平衡优化，建立最优的生产执行计划，满足生产计划控制和生产调控需要，满足企业对数智人才生产计划优化管理能力要求。</w:t>
      </w:r>
      <w:r/>
    </w:p>
    <w:p>
      <w:pPr>
        <w:ind w:firstLine="400"/>
        <w:spacing w:line="360" w:lineRule="auto"/>
      </w:pPr>
      <w:r>
        <w:rPr>
          <w:rFonts w:hint="eastAsia"/>
        </w:rPr>
        <w:t xml:space="preserve">★要求投标人提供新建生产计划任务的演示视频，时长不少于1分钟。新建生产任务要求包含但不限于需要选填计划类型（生产计划、检维修计划、采购计划等）、计划编号、计划名称、计划对象、计划数量（吨）、实际数量（吨）、计划对象要求、计划内容、计划开始时间（选填）、计划结束时间（选择）、计划执行人、实际开始时间（选择）、实际结束时间（选择）、计划优先级（选择）、计划创建时间（选择）、计划最近修改时间（选择）等相关信息，支持上传附件等功能。</w:t>
      </w:r>
      <w:r/>
    </w:p>
    <w:p>
      <w:pPr>
        <w:ind w:firstLine="400"/>
        <w:spacing w:line="360" w:lineRule="auto"/>
      </w:pPr>
      <w:r>
        <w:rPr>
          <w:rFonts w:hint="eastAsia"/>
        </w:rPr>
        <w:t xml:space="preserve">3.2.2生产调度管理模块要求</w:t>
      </w:r>
      <w:r/>
    </w:p>
    <w:p>
      <w:pPr>
        <w:ind w:firstLine="400"/>
        <w:spacing w:line="360" w:lineRule="auto"/>
      </w:pPr>
      <w:r>
        <w:rPr>
          <w:rFonts w:hint="eastAsia"/>
        </w:rPr>
        <w:t xml:space="preserve">要求生产调度管理模块，可以实现基于MES系统的生产车间调度管理，培养学生利用生产调度管理模块进行生产计划到生产任务拆分工作，能够完成生产过程管理、生产数据分析及生产操作流程优化，培养学生“会管理、能创新”的能力，满足企业对数智人才生产调度调整优化能力。生产调度管理模块可以对生产设备、生产工艺、物料等进行调度，以优化生产效率和生产质量，提高生产线利用率，可以模拟监控生产调度指令及相关信息的执行情况，并且根据生产执行计划和检修计划情况，支持相关人员调度指令和相关信息生成。</w:t>
      </w:r>
      <w:r/>
    </w:p>
    <w:p>
      <w:pPr>
        <w:ind w:firstLine="400"/>
        <w:spacing w:line="360" w:lineRule="auto"/>
      </w:pPr>
      <w:r>
        <w:rPr>
          <w:rFonts w:hint="eastAsia"/>
        </w:rPr>
        <w:t xml:space="preserve">★要求投标人提供新建生产调度管理任务的演示视频，时长不少于1分钟。新建生产调度管理任务要求包含但不限于需要填写调度姓名、选填调度类型（生产计划执行、检维修计划执行、异常处理）、关联计划编号、执行内容、计划对象、执行人、预计开始（选择）、预计结束（选择）、实际开始（选择）、实际结束（选择）、选填执行状态（待执行、执行中、已执行）。</w:t>
      </w:r>
      <w:r/>
    </w:p>
    <w:p>
      <w:pPr>
        <w:ind w:firstLine="400"/>
        <w:spacing w:line="360" w:lineRule="auto"/>
      </w:pPr>
      <w:r>
        <w:rPr>
          <w:rFonts w:hint="eastAsia"/>
        </w:rPr>
        <w:t xml:space="preserve">3.2.3设备管理模块要求</w:t>
      </w:r>
      <w:r/>
    </w:p>
    <w:p>
      <w:pPr>
        <w:ind w:firstLine="400"/>
        <w:spacing w:line="360" w:lineRule="auto"/>
      </w:pPr>
      <w:r>
        <w:rPr>
          <w:rFonts w:hint="eastAsia"/>
        </w:rPr>
        <w:t xml:space="preserve">要求设备管理模块，能够模拟实现对应的典型装置生产工艺生产的设备管理，包含但不限于对设备运行状况、维修保养等进行监控和管理，以保证设备的稳定运行和生产效率，支持监控设备运行情况。</w:t>
      </w:r>
      <w:r/>
    </w:p>
    <w:p>
      <w:pPr>
        <w:ind w:firstLine="400"/>
        <w:spacing w:line="360" w:lineRule="auto"/>
      </w:pPr>
      <w:r>
        <w:rPr>
          <w:rFonts w:hint="eastAsia"/>
        </w:rPr>
        <w:t xml:space="preserve">要求MES设备异常处理实训任务，以常减压催化裂化工艺3D生产装置为载体，设计MES设备异常处理全流程的实训任务内容。具体内容设计包含设备管理知识学习，现场设备巡检与异常分析，内、外操联动切泵，故障泵化工处理等实操内容。</w:t>
      </w:r>
      <w:r/>
    </w:p>
    <w:p>
      <w:pPr>
        <w:ind w:firstLine="400"/>
        <w:spacing w:line="360" w:lineRule="auto"/>
      </w:pPr>
      <w:r>
        <w:rPr>
          <w:rFonts w:hint="eastAsia"/>
        </w:rPr>
        <w:t xml:space="preserve">★</w:t>
      </w:r>
      <w:r>
        <w:rPr>
          <w:rFonts w:hint="eastAsia"/>
        </w:rPr>
        <w:t xml:space="preserve">要求投标人提供设备管理模块功能的演示视频，时长不少于1分钟。设备管理模块包含但不限于设备台账、设备检修和维护记录、设备异常报修处置记录。①设备台账展示窗口，至少由3部分组成，按照从上至下的顺序，依次是查询区域、设备详情区域和设备列表区域。支持通过设备列表区域的“新建”按钮，弹出相应的“创建设备台账”页面，通过录入设备位号、设备名称、型号、供应商、设备状态（选择）、工段（选择）、附件（设备图）、设备描述、负责人、投入使用时间（天）等信息。②设备检修及维护记录界面用于储存设备检修维护记录的相关数据，点击“新建”</w:t>
      </w:r>
      <w:r>
        <w:rPr>
          <w:rFonts w:hint="eastAsia"/>
        </w:rPr>
        <w:t xml:space="preserve">按钮，弹出相应的设备检修和维护记录单。支持通过填写设备位号、设备名称（选择关联设备台账）、检查点、检查时间（选择）、检查要求、责任人、检查状态（选择）、附件等信息进行任务单的创建。③设备异常报修处置记录用于储存设备异常后报修及应急处置记录相关数据文件。点击“新建”按钮，弹出相应的创建设备异常报修处置记录单，填写内容包含但不限于设备位号、故障设备名称、工段、故障类型（选择）、故障描述、故障拍摄（图片）、处理状态（选择）、报修人签字、报修人、检修人、创建时间（选择）、检修人签字、检修人、修复时间（选择）等信息。</w:t>
      </w:r>
      <w:r/>
    </w:p>
    <w:p>
      <w:pPr>
        <w:ind w:firstLine="400"/>
        <w:spacing w:line="360" w:lineRule="auto"/>
      </w:pPr>
      <w:r>
        <w:rPr>
          <w:rFonts w:hint="eastAsia"/>
        </w:rPr>
        <w:t xml:space="preserve">3.2.4产品质量管理模块要求</w:t>
      </w:r>
      <w:r/>
    </w:p>
    <w:p>
      <w:pPr>
        <w:ind w:firstLine="400"/>
        <w:spacing w:line="360" w:lineRule="auto"/>
      </w:pPr>
      <w:r>
        <w:rPr>
          <w:rFonts w:hint="eastAsia"/>
        </w:rPr>
        <w:t xml:space="preserve">要求产品质量管理模块，可以实现基于MES系统的产品质量管理和控制，通过建立产品质量指标和对产品生产质量信息进行记录，满足产品质量等进行长期持续监控追踪需要，确保产品符合质量标准和客户需求，培养学生“精益质量管理”能力。</w:t>
      </w:r>
      <w:r/>
    </w:p>
    <w:p>
      <w:pPr>
        <w:ind w:firstLine="400"/>
        <w:spacing w:line="360" w:lineRule="auto"/>
      </w:pPr>
      <w:r>
        <w:rPr>
          <w:rFonts w:hint="eastAsia"/>
        </w:rPr>
        <w:t xml:space="preserve">★要求投标人提供产品质量管理模块功能的演示视频，时长不少于1分钟。质量检测管理界面用于储存各类原料产品的质量指标，要求包含但不限于检测物名称、检测项目、检测标准、送检时间、检测状态、送检人、检测结果、品质现象描述、工艺指标要求、检测人等信息。点击“新建”按钮，弹出创建质量检测管理单，填写内容包含但不限于测物名称、检测项目、检测标准、送检时间（选择）、检测状态（选择）、送检人、检测结果（选择）、品质现象描述、工艺指标要求、检测人等信息。</w:t>
      </w:r>
      <w:r/>
    </w:p>
    <w:p>
      <w:pPr>
        <w:ind w:firstLine="400"/>
        <w:spacing w:line="360" w:lineRule="auto"/>
      </w:pPr>
      <w:r>
        <w:rPr>
          <w:rFonts w:hint="eastAsia"/>
        </w:rPr>
        <w:t xml:space="preserve">3.2.5物料管理模块要求</w:t>
      </w:r>
      <w:r/>
    </w:p>
    <w:p>
      <w:pPr>
        <w:ind w:firstLine="400"/>
        <w:spacing w:line="360" w:lineRule="auto"/>
      </w:pPr>
      <w:r>
        <w:rPr>
          <w:rFonts w:hint="eastAsia"/>
        </w:rPr>
        <w:t xml:space="preserve">要求物料管理模块，可以实现基于MES系统的用于对生产所需原材料和成品的管理和控制，包含但不限于对物料的库存、流转、使用等进行管理，以保证物料的合理利用和生产计划的顺利执行，实现对原料仓库、用料管理和采购管理。</w:t>
      </w:r>
      <w:r/>
    </w:p>
    <w:p>
      <w:pPr>
        <w:ind w:firstLine="400"/>
        <w:spacing w:line="360" w:lineRule="auto"/>
      </w:pPr>
      <w:r>
        <w:rPr>
          <w:rFonts w:hint="eastAsia"/>
        </w:rPr>
        <w:t xml:space="preserve">★要求投标人提供物料管理模块功能的演示视频，时长不少于1分钟。物料管理模块包含但不限于原料仓库、原料采购管理、原料用料管理、产品仓库等4项内容。①原料仓库包含但不限于原料名称、原料规格、采购记录、用料记录、入库量、用料量、单位、剩余量等信息。②“物料管理”模块中的“原料采购管理”，点击“新建”按钮，弹出创建原料采购管理页面，填写内</w:t>
      </w:r>
      <w:r>
        <w:rPr>
          <w:rFonts w:hint="eastAsia"/>
        </w:rPr>
        <w:t xml:space="preserve">容包含但不限于采购批次、采购原料、采购数量、采购规格、采购状态、采购时间、责任人、核验员。③原料用料管理用于记录各工段原材料使用情况和数量，保障原料供给正常。包含但不限于用料名称、数量、单位、时间、用料状态、责任人、检验员等。点击“新建”按钮，弹出创建原料用料管理页面，填写内容包含但不限于用料、用料量(吨)、采购用料量(吨)、炼油厂用料结算量(吨)、关联计划编号（选择）、时间（选择）、用料状态（选择）、责任人、检验员。④产品仓库用于记录厂区内产品产出记录，包含产品名称、入库量、规格、生产批次、负责人等信息。</w:t>
      </w:r>
      <w:r/>
    </w:p>
    <w:p>
      <w:pPr>
        <w:ind w:firstLine="400"/>
        <w:spacing w:line="360" w:lineRule="auto"/>
      </w:pPr>
      <w:r>
        <w:rPr>
          <w:rFonts w:hint="eastAsia"/>
        </w:rPr>
        <w:t xml:space="preserve">3.2.6人员信息管理模块要求</w:t>
      </w:r>
      <w:r/>
    </w:p>
    <w:p>
      <w:pPr>
        <w:spacing w:line="360" w:lineRule="auto"/>
      </w:pPr>
      <w:r>
        <w:rPr>
          <w:rFonts w:hint="eastAsia"/>
        </w:rPr>
        <w:t xml:space="preserve">要求人员信息管理模块，能够模拟实现对应典型装置生产工艺生产的人员信息管理，实现生产车间员工管理和权限管理，包含但不限于对员工信息、岗位等基础信息进行管理和监控，以便于生产车间的员工管控。</w:t>
      </w:r>
      <w:r/>
    </w:p>
    <w:p>
      <w:pPr>
        <w:ind w:firstLine="400"/>
        <w:spacing w:line="360" w:lineRule="auto"/>
      </w:pPr>
      <w:r>
        <w:rPr>
          <w:rFonts w:hint="eastAsia"/>
        </w:rPr>
        <w:t xml:space="preserve">★要求投标人提供人员信息管理模块功能的演示视频，时长不少于1分钟。人员信息管理模块包含但不限于工号/学号、姓名、性别、年龄、岗位、部门/生产工段等，点击“新建”按钮，弹出创建人员信息管理页面，填写内容包含但不限于工号/学号、系统账号、年龄、工龄(年)、姓名、性别（选择）、入职时间（选择）、岗位、部门/生产工段等。人员信息管理模块支持通过工号/学号或者姓名进行搜索查询。</w:t>
      </w:r>
      <w:r/>
    </w:p>
    <w:p>
      <w:pPr>
        <w:ind w:firstLine="400"/>
        <w:spacing w:line="360" w:lineRule="auto"/>
      </w:pPr>
      <w:r>
        <w:rPr>
          <w:rFonts w:hint="eastAsia"/>
        </w:rPr>
        <w:t xml:space="preserve">3.2.7模型管理模块要求</w:t>
      </w:r>
      <w:r/>
    </w:p>
    <w:p>
      <w:pPr>
        <w:ind w:firstLine="400"/>
        <w:spacing w:line="360" w:lineRule="auto"/>
      </w:pPr>
      <w:r>
        <w:rPr>
          <w:rFonts w:hint="eastAsia"/>
        </w:rPr>
        <w:t xml:space="preserve">要求模型管理模块，可以实现基于MES系统的对生产模型进行管理和优化，实现生产模型各类操作手册、流程工艺图、管理制度等管理和维护，提高生产运行的效能。模型管理包含生产模型名称、创建人、创建时间等信息。</w:t>
      </w:r>
      <w:r/>
    </w:p>
    <w:p>
      <w:pPr>
        <w:ind w:firstLine="400"/>
        <w:spacing w:line="360" w:lineRule="auto"/>
      </w:pPr>
      <w:r>
        <w:rPr>
          <w:rFonts w:hint="eastAsia"/>
        </w:rPr>
        <w:t xml:space="preserve">3.2.8数据展示模块要求</w:t>
      </w:r>
      <w:r/>
    </w:p>
    <w:p>
      <w:pPr>
        <w:ind w:firstLine="400"/>
        <w:spacing w:line="360" w:lineRule="auto"/>
      </w:pPr>
      <w:r>
        <w:rPr>
          <w:rFonts w:hint="eastAsia"/>
        </w:rPr>
        <w:t xml:space="preserve">数据展示模块要求利用大数据界面呈现生产监控动态数据和设备监控动态数据。</w:t>
      </w:r>
      <w:r/>
    </w:p>
    <w:p>
      <w:pPr>
        <w:ind w:firstLine="400"/>
        <w:spacing w:line="360" w:lineRule="auto"/>
      </w:pPr>
      <w:r>
        <w:rPr>
          <w:rFonts w:hint="eastAsia"/>
        </w:rPr>
        <w:t xml:space="preserve">生产监控界面包含但不限于生产计划监控、生产指令监控、生产物料监控、生产质量监控、生产原料监控、场所危害监控、生产能耗监控，用于可视化视觉管理，通过系统监测通知的形式告知厂内人员工艺参数、生产计划、场所危害等各类厂区异常。</w:t>
      </w:r>
      <w:r/>
    </w:p>
    <w:p>
      <w:pPr>
        <w:ind w:firstLine="400"/>
        <w:spacing w:line="360" w:lineRule="auto"/>
      </w:pPr>
      <w:r>
        <w:rPr>
          <w:rFonts w:hint="eastAsia"/>
        </w:rPr>
        <w:t xml:space="preserve">设备监控包含但不限于设备运行状态监控、设备检修和维修分析、设备异常报修监控、设备异常报修分析、设备检修和维护记录、设备异常报修处置记录，用于设备层面各类可视化监控管理，通知各类设备异常状况、检维修记录登记等，保证生产设备日常检维修计划顺利进行，设备维持正常稳定操作，保证生产产量及质量符合原料产品指标标准。</w:t>
      </w:r>
      <w:r/>
    </w:p>
    <w:p>
      <w:pPr>
        <w:ind w:firstLine="400"/>
        <w:spacing w:line="360" w:lineRule="auto"/>
      </w:pPr>
      <w:r>
        <w:rPr>
          <w:rFonts w:hint="eastAsia"/>
        </w:rPr>
        <w:t xml:space="preserve">3.3、实训任务要求</w:t>
      </w:r>
      <w:r/>
    </w:p>
    <w:p>
      <w:pPr>
        <w:ind w:firstLine="400"/>
        <w:spacing w:line="360" w:lineRule="auto"/>
      </w:pPr>
      <w:r>
        <w:rPr>
          <w:rFonts w:hint="eastAsia"/>
        </w:rPr>
        <w:t xml:space="preserve">3.3.1、生产排产计划任务要求</w:t>
      </w:r>
      <w:r/>
    </w:p>
    <w:p>
      <w:pPr>
        <w:ind w:firstLine="400"/>
        <w:spacing w:line="360" w:lineRule="auto"/>
      </w:pPr>
      <w:r>
        <w:rPr>
          <w:rFonts w:hint="eastAsia"/>
        </w:rPr>
        <w:t xml:space="preserve">要求结合常减压-催化裂化工艺背景，提供生产排产计划任务，完成生产任务排产计划的填报。</w:t>
      </w:r>
      <w:r/>
    </w:p>
    <w:p>
      <w:pPr>
        <w:ind w:firstLine="400"/>
        <w:spacing w:line="360" w:lineRule="auto"/>
      </w:pPr>
      <w:r>
        <w:rPr>
          <w:rFonts w:hint="eastAsia"/>
        </w:rPr>
        <w:t xml:space="preserve">（1）任务背景：要求提供装置背景情况、理论知识与系统原理等</w:t>
      </w:r>
      <w:r/>
    </w:p>
    <w:p>
      <w:pPr>
        <w:ind w:firstLine="400"/>
        <w:spacing w:line="360" w:lineRule="auto"/>
      </w:pPr>
      <w:r>
        <w:rPr>
          <w:rFonts w:hint="eastAsia"/>
        </w:rPr>
        <w:t xml:space="preserve">（2）实训内容：要求包含完整的生产排产计划计算公式及相关说明</w:t>
      </w:r>
      <w:r/>
    </w:p>
    <w:p>
      <w:pPr>
        <w:ind w:firstLine="400"/>
        <w:spacing w:line="360" w:lineRule="auto"/>
      </w:pPr>
      <w:r>
        <w:rPr>
          <w:rFonts w:hint="eastAsia"/>
        </w:rPr>
        <w:t xml:space="preserve">（3）MES系统操作：要求在MES系统中完成生产排产计划填报的分步操作指引、操作步骤须不少于10步。</w:t>
      </w:r>
      <w:r/>
    </w:p>
    <w:p>
      <w:pPr>
        <w:ind w:firstLine="400"/>
        <w:spacing w:line="360" w:lineRule="auto"/>
      </w:pPr>
      <w:r>
        <w:rPr>
          <w:rFonts w:hint="eastAsia"/>
        </w:rPr>
        <w:t xml:space="preserve">（4）MES系统考核：要求软件内置针对本生产排产计划的专项考核模块，考核内容须不少于5项，题型须包含填空题、单选题、判断题等不少于3种题型。</w:t>
      </w:r>
      <w:r/>
    </w:p>
    <w:p>
      <w:pPr>
        <w:ind w:firstLine="400"/>
        <w:spacing w:line="360" w:lineRule="auto"/>
      </w:pPr>
      <w:r>
        <w:rPr>
          <w:rFonts w:hint="eastAsia"/>
        </w:rPr>
        <w:t xml:space="preserve">◆要求投标人基于常减压-催化裂化工艺，提供本装置产能规模下的月度、季度、年度排产计划方案，方案中应明确阐述排产计划的计算原理、计算方法、计算过程以及详细填报要求等信息，所提供排产计划与工艺软件开车工况相结合，并提供针对本项目的MES系统教学任务教案。</w:t>
      </w:r>
      <w:r/>
    </w:p>
    <w:p>
      <w:pPr>
        <w:ind w:firstLine="400"/>
        <w:spacing w:line="360" w:lineRule="auto"/>
      </w:pPr>
      <w:r>
        <w:rPr>
          <w:rFonts w:hint="eastAsia"/>
        </w:rPr>
        <w:t xml:space="preserve">3.3.2、生产调度任务要求</w:t>
      </w:r>
      <w:r/>
    </w:p>
    <w:p>
      <w:pPr>
        <w:ind w:firstLine="400"/>
        <w:spacing w:line="360" w:lineRule="auto"/>
      </w:pPr>
      <w:r>
        <w:rPr>
          <w:rFonts w:hint="eastAsia"/>
        </w:rPr>
        <w:t xml:space="preserve">要求结合常减压-催化裂化工艺背景，提供生产调度任务，完成调度计划填报的填报。</w:t>
      </w:r>
      <w:r/>
    </w:p>
    <w:p>
      <w:pPr>
        <w:ind w:firstLine="400"/>
        <w:spacing w:line="360" w:lineRule="auto"/>
      </w:pPr>
      <w:r>
        <w:rPr>
          <w:rFonts w:hint="eastAsia"/>
        </w:rPr>
        <w:t xml:space="preserve">（1）任务背景：要求提供装置背景情况、理论知识与系统原理等</w:t>
      </w:r>
      <w:r/>
    </w:p>
    <w:p>
      <w:pPr>
        <w:ind w:firstLine="400"/>
        <w:spacing w:line="360" w:lineRule="auto"/>
      </w:pPr>
      <w:r>
        <w:rPr>
          <w:rFonts w:hint="eastAsia"/>
        </w:rPr>
        <w:t xml:space="preserve">（2）实训内容：要求包含完整的调度计算公式及相关说明。要求与排产计划、物料管理模块的工作流联动。要求能够充分结合原料、产品储备，合理完成生产调度任务的填报。</w:t>
      </w:r>
      <w:r/>
    </w:p>
    <w:p>
      <w:pPr>
        <w:ind w:firstLine="400"/>
        <w:spacing w:line="360" w:lineRule="auto"/>
      </w:pPr>
      <w:r>
        <w:rPr>
          <w:rFonts w:hint="eastAsia"/>
        </w:rPr>
        <w:t xml:space="preserve">（3）MES系统操作：要求在MES系统中完成调度计划填报的分步操作指引、操作步骤须不少于12步。</w:t>
      </w:r>
      <w:r/>
    </w:p>
    <w:p>
      <w:pPr>
        <w:ind w:firstLine="400"/>
        <w:spacing w:line="360" w:lineRule="auto"/>
      </w:pPr>
      <w:r>
        <w:rPr>
          <w:rFonts w:hint="eastAsia"/>
        </w:rPr>
        <w:t xml:space="preserve">（4）MES系统考核：要求软件内置针对本生产调度任务的专项考核模块，考核内容须不少于5项，题型须包含填空题、单选题、判断题等不少于3种题型。</w:t>
      </w:r>
      <w:r/>
    </w:p>
    <w:p>
      <w:pPr>
        <w:ind w:firstLine="400"/>
        <w:spacing w:line="360" w:lineRule="auto"/>
        <w:rPr>
          <w:highlight w:val="yellow"/>
        </w:rPr>
      </w:pPr>
      <w:r>
        <w:rPr>
          <w:rFonts w:hint="eastAsia"/>
        </w:rPr>
        <w:t xml:space="preserve">要求投标人提供满足上述生产调度实训项目方案。</w:t>
      </w:r>
      <w:r/>
    </w:p>
    <w:p>
      <w:pPr>
        <w:ind w:firstLine="400"/>
        <w:spacing w:line="360" w:lineRule="auto"/>
      </w:pPr>
      <w:r>
        <w:rPr>
          <w:rFonts w:hint="eastAsia"/>
        </w:rPr>
        <w:t xml:space="preserve">3.3.3、设备检维修任务要求</w:t>
      </w:r>
      <w:r/>
    </w:p>
    <w:p>
      <w:pPr>
        <w:ind w:firstLine="400"/>
        <w:spacing w:line="360" w:lineRule="auto"/>
      </w:pPr>
      <w:r>
        <w:rPr>
          <w:rFonts w:hint="eastAsia"/>
        </w:rPr>
        <w:t xml:space="preserve">要求结合常减压-催化裂化工艺背景，完成设备检维修计划的填报。</w:t>
      </w:r>
      <w:r/>
    </w:p>
    <w:p>
      <w:pPr>
        <w:ind w:firstLine="400"/>
        <w:spacing w:line="360" w:lineRule="auto"/>
      </w:pPr>
      <w:r>
        <w:rPr>
          <w:rFonts w:hint="eastAsia"/>
        </w:rPr>
        <w:t xml:space="preserve">（1）任务背景：要求提供装置背景情况、理论知识与系统原理等</w:t>
      </w:r>
      <w:r/>
    </w:p>
    <w:p>
      <w:pPr>
        <w:ind w:firstLine="400"/>
        <w:spacing w:line="360" w:lineRule="auto"/>
      </w:pPr>
      <w:r>
        <w:rPr>
          <w:rFonts w:hint="eastAsia"/>
        </w:rPr>
        <w:t xml:space="preserve">（2）实训内容：要求包含完整的设备检维修国家标准说明。</w:t>
      </w:r>
      <w:r/>
    </w:p>
    <w:p>
      <w:pPr>
        <w:ind w:firstLine="400"/>
        <w:spacing w:line="360" w:lineRule="auto"/>
      </w:pPr>
      <w:r>
        <w:rPr>
          <w:rFonts w:hint="eastAsia"/>
        </w:rPr>
        <w:t xml:space="preserve">（3）MES系统操作：要求在MES系统中完成设备检修和维护记录、设备异常保修与处置记录的分步操作指引、操作步骤须不少于18步。</w:t>
      </w:r>
      <w:r/>
    </w:p>
    <w:p>
      <w:pPr>
        <w:ind w:firstLine="400"/>
        <w:spacing w:line="360" w:lineRule="auto"/>
      </w:pPr>
      <w:r>
        <w:rPr>
          <w:rFonts w:hint="eastAsia"/>
        </w:rPr>
        <w:t xml:space="preserve">（4）MES系统考核：要求软件内置针对本设备检维修任务的专项考核模块，考核内容须不少于3项，题型须包含填空题、单选题、判断题等不少于3种题型。</w:t>
      </w:r>
      <w:r/>
    </w:p>
    <w:p>
      <w:pPr>
        <w:ind w:firstLine="400"/>
        <w:spacing w:line="360" w:lineRule="auto"/>
        <w:rPr>
          <w:highlight w:val="yellow"/>
        </w:rPr>
      </w:pPr>
      <w:r>
        <w:rPr>
          <w:rFonts w:hint="eastAsia"/>
        </w:rPr>
        <w:t xml:space="preserve">要求投标人提供满足上述设备检维修任务实训项目方案。</w:t>
      </w:r>
      <w:r/>
    </w:p>
    <w:p>
      <w:pPr>
        <w:ind w:firstLine="400"/>
        <w:spacing w:line="360" w:lineRule="auto"/>
      </w:pPr>
      <w:r>
        <w:rPr>
          <w:rFonts w:hint="eastAsia"/>
        </w:rPr>
        <w:t xml:space="preserve">3.3.4、物料管理任务要求</w:t>
      </w:r>
      <w:r/>
    </w:p>
    <w:p>
      <w:pPr>
        <w:ind w:firstLine="400"/>
        <w:spacing w:line="360" w:lineRule="auto"/>
      </w:pPr>
      <w:r>
        <w:rPr>
          <w:rFonts w:hint="eastAsia"/>
        </w:rPr>
        <w:t xml:space="preserve">（1）任务背景：要求提供装置背景情况、理论知识与系统原理等</w:t>
      </w:r>
      <w:r/>
    </w:p>
    <w:p>
      <w:pPr>
        <w:ind w:firstLine="400"/>
        <w:spacing w:line="360" w:lineRule="auto"/>
      </w:pPr>
      <w:r>
        <w:rPr>
          <w:rFonts w:hint="eastAsia"/>
        </w:rPr>
        <w:t xml:space="preserve">（2）实训内容：要求包含完整的供应链管理任务说明、原料管理说明、产品管理说明等。</w:t>
      </w:r>
      <w:r/>
    </w:p>
    <w:p>
      <w:pPr>
        <w:ind w:firstLine="400"/>
        <w:spacing w:line="360" w:lineRule="auto"/>
      </w:pPr>
      <w:r>
        <w:rPr>
          <w:rFonts w:hint="eastAsia"/>
        </w:rPr>
        <w:t xml:space="preserve">（3）MES系统操作：要求在MES系统中完成原料台账建立、产品台账建立、原料采购任务建立、原料用料任务建立的分步操作指引、操作步骤须不少于25步。</w:t>
      </w:r>
      <w:r/>
    </w:p>
    <w:p>
      <w:pPr>
        <w:ind w:firstLine="400"/>
        <w:spacing w:line="360" w:lineRule="auto"/>
      </w:pPr>
      <w:r>
        <w:rPr>
          <w:rFonts w:hint="eastAsia"/>
        </w:rPr>
        <w:t xml:space="preserve">（4）MES系统考核：要求软件内置针对本物料管理任务的专项考核模块，考核内容须不少于4项，题型须包含填空题、单选题、判断题等不少于3种题型。</w:t>
      </w:r>
      <w:r/>
    </w:p>
    <w:p>
      <w:pPr>
        <w:ind w:firstLine="400"/>
        <w:spacing w:line="360" w:lineRule="auto"/>
        <w:rPr>
          <w:highlight w:val="yellow"/>
        </w:rPr>
      </w:pPr>
      <w:r>
        <w:rPr>
          <w:rFonts w:hint="eastAsia"/>
        </w:rPr>
        <w:t xml:space="preserve">要求投标人提供满足上述质物料理实训项目方案。</w:t>
      </w:r>
      <w:r/>
    </w:p>
    <w:p>
      <w:pPr>
        <w:ind w:firstLine="400"/>
        <w:spacing w:line="360" w:lineRule="auto"/>
      </w:pPr>
      <w:r>
        <w:rPr>
          <w:rFonts w:hint="eastAsia"/>
        </w:rPr>
        <w:t xml:space="preserve">3.3.5、质量管理任务要求</w:t>
      </w:r>
      <w:r/>
    </w:p>
    <w:p>
      <w:pPr>
        <w:ind w:firstLine="400"/>
        <w:spacing w:line="360" w:lineRule="auto"/>
      </w:pPr>
      <w:r>
        <w:rPr>
          <w:rFonts w:hint="eastAsia"/>
        </w:rPr>
        <w:t xml:space="preserve">（1）任务背景：要求提供装置背景情况、理论知识与系统原理等</w:t>
      </w:r>
      <w:r/>
    </w:p>
    <w:p>
      <w:pPr>
        <w:ind w:firstLine="400"/>
        <w:spacing w:line="360" w:lineRule="auto"/>
      </w:pPr>
      <w:r>
        <w:rPr>
          <w:rFonts w:hint="eastAsia"/>
        </w:rPr>
        <w:t xml:space="preserve">（2）实训内容：要求包含完整的质量监测说明、质量管理体系等。</w:t>
      </w:r>
      <w:r/>
    </w:p>
    <w:p>
      <w:pPr>
        <w:ind w:firstLine="400"/>
        <w:spacing w:line="360" w:lineRule="auto"/>
      </w:pPr>
      <w:r>
        <w:rPr>
          <w:rFonts w:hint="eastAsia"/>
        </w:rPr>
        <w:t xml:space="preserve">（3）MES系统操作：要求学员端提供在MES系统中完成原质量检测管理、质量管理体系建立的分步操作指引、操作步骤须不少于10步。</w:t>
      </w:r>
      <w:r/>
    </w:p>
    <w:p>
      <w:pPr>
        <w:ind w:firstLine="400"/>
        <w:spacing w:line="360" w:lineRule="auto"/>
      </w:pPr>
      <w:r>
        <w:rPr>
          <w:rFonts w:hint="eastAsia"/>
        </w:rPr>
        <w:t xml:space="preserve">（4）MES系统考核：要求学员端内置针对本质量管理的专项考核模块，考核内容须不少于2项，题型须包含填空题、单选题、判断题等不少于3种题型。</w:t>
      </w:r>
      <w:r/>
    </w:p>
    <w:p>
      <w:pPr>
        <w:ind w:firstLine="400"/>
        <w:spacing w:line="360" w:lineRule="auto"/>
        <w:rPr>
          <w:highlight w:val="yellow"/>
        </w:rPr>
      </w:pPr>
      <w:r>
        <w:rPr>
          <w:rFonts w:hint="eastAsia"/>
        </w:rPr>
        <w:t xml:space="preserve">要求投标人提供满足上述质量管理实训项目方案。</w:t>
      </w:r>
      <w:r/>
    </w:p>
    <w:p>
      <w:pPr>
        <w:ind w:firstLine="400"/>
        <w:spacing w:line="360" w:lineRule="auto"/>
      </w:pPr>
      <w:r>
        <w:rPr>
          <w:rFonts w:hint="eastAsia"/>
        </w:rPr>
        <w:t xml:space="preserve">3.4、系统功能要求</w:t>
      </w:r>
      <w:r/>
    </w:p>
    <w:p>
      <w:pPr>
        <w:ind w:firstLine="400"/>
        <w:spacing w:line="360" w:lineRule="auto"/>
      </w:pPr>
      <w:r>
        <w:rPr>
          <w:rFonts w:hint="eastAsia"/>
        </w:rPr>
        <w:t xml:space="preserve">场景要求：3D场景，至少包含中央控制室、装置区等；</w:t>
      </w:r>
      <w:r/>
    </w:p>
    <w:p>
      <w:pPr>
        <w:ind w:firstLine="400"/>
        <w:spacing w:line="360" w:lineRule="auto"/>
      </w:pPr>
      <w:r>
        <w:rPr>
          <w:rFonts w:hint="eastAsia"/>
        </w:rPr>
        <w:t xml:space="preserve">角色要求：至少包含4种角色，班长、内操员、外操员、调度员，且角色之间可以进行切换。</w:t>
      </w:r>
      <w:r/>
    </w:p>
    <w:p>
      <w:pPr>
        <w:ind w:firstLine="400"/>
        <w:spacing w:line="360" w:lineRule="auto"/>
      </w:pPr>
      <w:r>
        <w:rPr>
          <w:rFonts w:hint="eastAsia"/>
        </w:rPr>
        <w:t xml:space="preserve">要求具备点击大屏可以打开培训资料功能，培训资源需包含《常减压催化裂化工艺技术规程》、《装置生产计划排产资料学习》等文件。</w:t>
      </w:r>
      <w:r/>
    </w:p>
    <w:p>
      <w:pPr>
        <w:ind w:firstLine="400"/>
        <w:spacing w:line="360" w:lineRule="auto"/>
      </w:pPr>
      <w:r>
        <w:rPr>
          <w:rFonts w:hint="eastAsia"/>
        </w:rPr>
        <w:t xml:space="preserve">要求具备点击主机，查看MES系统功能。点击MES系统生产计划，查看ERP生产计划、班次生产计划工单的功能。</w:t>
      </w:r>
      <w:r/>
    </w:p>
    <w:p>
      <w:pPr>
        <w:ind w:firstLine="400"/>
        <w:spacing w:line="360" w:lineRule="auto"/>
      </w:pPr>
      <w:r>
        <w:rPr>
          <w:rFonts w:hint="eastAsia"/>
        </w:rPr>
        <w:t xml:space="preserve">要求具备测试题的功能。</w:t>
      </w:r>
      <w:r/>
    </w:p>
    <w:p>
      <w:pPr>
        <w:ind w:firstLine="400"/>
        <w:spacing w:line="360" w:lineRule="auto"/>
      </w:pPr>
      <w:r>
        <w:rPr>
          <w:rFonts w:hint="eastAsia"/>
        </w:rPr>
        <w:t xml:space="preserve">要求具备在3D现场装置中进行阀门开关、泵开闭的功能，且现场操作与DCS可以实现数据通讯。</w:t>
      </w:r>
      <w:r/>
    </w:p>
    <w:p>
      <w:pPr>
        <w:ind w:firstLine="400"/>
        <w:spacing w:line="360" w:lineRule="auto"/>
      </w:pPr>
      <w:r>
        <w:rPr>
          <w:rFonts w:hint="eastAsia"/>
        </w:rPr>
        <w:t xml:space="preserve">4、</w:t>
      </w:r>
      <w:bookmarkStart w:id="35" w:name="OLE_LINK17"/>
      <w:r>
        <w:rPr>
          <w:rFonts w:hint="eastAsia"/>
        </w:rPr>
        <w:t xml:space="preserve">智能多变量先进控制虚拟仿真系统</w:t>
      </w:r>
      <w:bookmarkEnd w:id="35"/>
      <w:r/>
      <w:r/>
    </w:p>
    <w:p>
      <w:pPr>
        <w:ind w:firstLine="400"/>
        <w:spacing w:line="360" w:lineRule="auto"/>
      </w:pPr>
      <w:r>
        <w:rPr>
          <w:rFonts w:hint="eastAsia"/>
        </w:rPr>
        <w:t xml:space="preserve">4.1、整体建设要求</w:t>
      </w:r>
      <w:r/>
    </w:p>
    <w:p>
      <w:pPr>
        <w:ind w:firstLine="400"/>
        <w:spacing w:line="360" w:lineRule="auto"/>
      </w:pPr>
      <w:r>
        <w:rPr>
          <w:rFonts w:hint="eastAsia"/>
        </w:rPr>
        <w:t xml:space="preserve">智能多变量先进控制虚拟仿真系统（APC仿真系统），基于常减压催化裂化装置虚拟仿真工艺软件设计，采用多变量模型进行预测控制，实现对常减压催化裂化装置中的常减压工段（减压塔）、催化裂化工段（反再系统）实施APC系统控制。学生可以在DCS界面中对控制点在传统PID控制和APC先进控制两种模式间进行切换，通过趋势图对比两种控制系统的控制效果，从而对先进控制系统的能力有更好的认知。</w:t>
      </w:r>
      <w:r/>
    </w:p>
    <w:p>
      <w:pPr>
        <w:spacing w:line="360" w:lineRule="auto"/>
      </w:pPr>
      <w:r>
        <w:rPr>
          <w:rFonts w:hint="eastAsia"/>
        </w:rPr>
        <w:t xml:space="preserve">要求提供智能多变量先进控制虚拟仿真系统中文版和英文版各1套。</w:t>
      </w:r>
      <w:r/>
    </w:p>
    <w:p>
      <w:pPr>
        <w:ind w:firstLine="400"/>
        <w:spacing w:line="360" w:lineRule="auto"/>
      </w:pPr>
      <w:r>
        <w:rPr>
          <w:rFonts w:hint="eastAsia"/>
        </w:rPr>
        <w:t xml:space="preserve">4.2、模块功能要求</w:t>
      </w:r>
      <w:r/>
    </w:p>
    <w:p>
      <w:pPr>
        <w:ind w:firstLine="400"/>
        <w:spacing w:line="360" w:lineRule="auto"/>
      </w:pPr>
      <w:r>
        <w:rPr>
          <w:rFonts w:hint="eastAsia"/>
        </w:rPr>
        <w:t xml:space="preserve">4.2.1操作员站模块</w:t>
      </w:r>
      <w:r/>
    </w:p>
    <w:p>
      <w:pPr>
        <w:ind w:firstLine="400"/>
        <w:spacing w:line="360" w:lineRule="auto"/>
      </w:pPr>
      <w:r>
        <w:rPr>
          <w:rFonts w:hint="eastAsia"/>
        </w:rPr>
        <w:t xml:space="preserve">（1）要求具备模拟常减压工段、催化裂化工段各1台典型设备先进控制系统认知展示功能，支持展示操作变量（MV），干扰变量（DV），被控变量（CV）在仿真工艺的位置及相关信息，支持展示APC系统各组成部分的关系及作用；</w:t>
      </w:r>
      <w:r/>
    </w:p>
    <w:p>
      <w:pPr>
        <w:ind w:firstLine="400"/>
        <w:spacing w:line="360" w:lineRule="auto"/>
      </w:pPr>
      <w:r>
        <w:rPr>
          <w:rFonts w:hint="eastAsia"/>
        </w:rPr>
        <w:t xml:space="preserve">（2）要求具备模拟常减压工段、催化裂化工段各1台典型设备先进控制系统操作界面功能，能实现典型的APC系统投用、操作变量和被控变量上下限设定等功能，支持由于故障或为了维护而停用某个变量；</w:t>
      </w:r>
      <w:r/>
    </w:p>
    <w:p>
      <w:pPr>
        <w:ind w:firstLine="400"/>
        <w:spacing w:line="360" w:lineRule="auto"/>
      </w:pPr>
      <w:r>
        <w:rPr>
          <w:rFonts w:hint="eastAsia"/>
        </w:rPr>
        <w:t xml:space="preserve">（3）要求具备模拟常减压工段、催化裂化工段各1台典型设备先进控制系统典型特性，投用APC系统后，能改善过程动态控制的性能，使之能更接近其优化目标值，从而改善质量控制；</w:t>
      </w:r>
      <w:r/>
    </w:p>
    <w:p>
      <w:pPr>
        <w:ind w:firstLine="400"/>
        <w:spacing w:line="360" w:lineRule="auto"/>
      </w:pPr>
      <w:r>
        <w:rPr>
          <w:rFonts w:hint="eastAsia"/>
        </w:rPr>
        <w:t xml:space="preserve">4.2.2模型矩阵模块</w:t>
      </w:r>
      <w:r/>
    </w:p>
    <w:p>
      <w:pPr>
        <w:ind w:firstLine="400"/>
        <w:spacing w:line="360" w:lineRule="auto"/>
      </w:pPr>
      <w:r>
        <w:rPr>
          <w:rFonts w:hint="eastAsia"/>
        </w:rPr>
        <w:t xml:space="preserve">（1）要求具备支持查看不少于3组控制变量和被控变量参数模型矩阵信息；</w:t>
      </w:r>
      <w:r/>
    </w:p>
    <w:p>
      <w:pPr>
        <w:ind w:firstLine="400"/>
        <w:spacing w:line="360" w:lineRule="auto"/>
      </w:pPr>
      <w:r>
        <w:rPr>
          <w:rFonts w:hint="eastAsia"/>
        </w:rPr>
        <w:t xml:space="preserve">（2）要求具备支持不少于3个参数趋势影响说明功能，显示模型矩阵中涉及的各参数及影响说明信息；</w:t>
      </w:r>
      <w:r/>
    </w:p>
    <w:p>
      <w:pPr>
        <w:ind w:firstLine="400"/>
        <w:spacing w:line="360" w:lineRule="auto"/>
      </w:pPr>
      <w:r>
        <w:rPr>
          <w:rFonts w:hint="eastAsia"/>
        </w:rPr>
        <w:t xml:space="preserve">（3）要求具备支持切换模型矩阵中的控制变量和被控变量，查看对应的模型矩阵信息和参数趋势影响说明信息；</w:t>
      </w:r>
      <w:r/>
    </w:p>
    <w:p>
      <w:pPr>
        <w:ind w:firstLine="400"/>
        <w:spacing w:line="360" w:lineRule="auto"/>
      </w:pPr>
      <w:r>
        <w:rPr>
          <w:rFonts w:hint="eastAsia"/>
        </w:rPr>
        <w:t xml:space="preserve">4.2.3大数据监控模块</w:t>
      </w:r>
      <w:r/>
    </w:p>
    <w:p>
      <w:pPr>
        <w:ind w:firstLine="400"/>
        <w:spacing w:line="360" w:lineRule="auto"/>
      </w:pPr>
      <w:r>
        <w:rPr>
          <w:rFonts w:hint="eastAsia"/>
        </w:rPr>
        <w:t xml:space="preserve">要求具备支持显示运行状态监控、出料质量含量监控、关键点值实时监控、产品质量含量、原料流量等情况，最终实现可视化呈现。</w:t>
      </w:r>
      <w:r/>
    </w:p>
    <w:p>
      <w:pPr>
        <w:ind w:firstLine="400"/>
        <w:spacing w:line="360" w:lineRule="auto"/>
      </w:pPr>
      <w:r>
        <w:rPr>
          <w:rFonts w:hint="eastAsia"/>
        </w:rPr>
        <w:t xml:space="preserve">4.3、实训任务要求</w:t>
      </w:r>
      <w:r/>
    </w:p>
    <w:p>
      <w:pPr>
        <w:ind w:firstLine="400"/>
        <w:spacing w:line="360" w:lineRule="auto"/>
      </w:pPr>
      <w:r>
        <w:rPr>
          <w:rFonts w:hint="eastAsia"/>
        </w:rPr>
        <w:t xml:space="preserve">要求充分结合工艺仿真OTS软件，完成生产过程中的智能多变量先进控制系统（APC系统）的投用、异常处置等工况。智能多变量先进控制虚拟仿真实训任务要求至少包含常减压仿真APC投用、常减压仿真APC 工艺异常处置、催化裂化仿真APC投用、催化裂化仿真APC 工艺异常处置等4个实训任务。</w:t>
      </w:r>
      <w:r/>
    </w:p>
    <w:p>
      <w:pPr>
        <w:ind w:firstLine="400"/>
        <w:spacing w:line="360" w:lineRule="auto"/>
      </w:pPr>
      <w:r>
        <w:rPr>
          <w:rFonts w:hint="eastAsia"/>
        </w:rPr>
        <w:t xml:space="preserve">4.3.1 APC系统投用工况要求</w:t>
      </w:r>
      <w:r/>
    </w:p>
    <w:p>
      <w:pPr>
        <w:ind w:firstLine="400"/>
        <w:spacing w:line="360" w:lineRule="auto"/>
      </w:pPr>
      <w:r>
        <w:rPr>
          <w:rFonts w:hint="eastAsia"/>
        </w:rPr>
        <w:t xml:space="preserve">（1）要求通过</w:t>
      </w:r>
      <w:bookmarkStart w:id="36" w:name="OLE_LINK3"/>
      <w:r>
        <w:rPr>
          <w:rFonts w:hint="eastAsia"/>
        </w:rPr>
        <w:t xml:space="preserve">常减压-催化裂化3D虚拟仿真软件</w:t>
      </w:r>
      <w:bookmarkEnd w:id="36"/>
      <w:r>
        <w:rPr>
          <w:rFonts w:hint="eastAsia"/>
        </w:rPr>
        <w:t xml:space="preserve">，开展APC系统投用工况，并能调用APC系统工程师站、APC系统操作员站。</w:t>
      </w:r>
      <w:r/>
    </w:p>
    <w:p>
      <w:pPr>
        <w:ind w:firstLine="400"/>
        <w:spacing w:line="360" w:lineRule="auto"/>
      </w:pPr>
      <w:r>
        <w:rPr>
          <w:rFonts w:hint="eastAsia"/>
        </w:rPr>
        <w:t xml:space="preserve">（2）要求提供APC系统投用工况作业背景导入、理论知识介绍，帮助学生学习与了解APC知识、APC系统的使用以及任务背景和目标。</w:t>
      </w:r>
      <w:r/>
    </w:p>
    <w:p>
      <w:pPr>
        <w:ind w:firstLine="400"/>
        <w:spacing w:line="360" w:lineRule="auto"/>
      </w:pPr>
      <w:r>
        <w:rPr>
          <w:rFonts w:hint="eastAsia"/>
        </w:rPr>
        <w:t xml:space="preserve">（3）要求APC系统投用工况能充分还原真实生产过程，操作步骤包括工艺正常指标调整、APC工程师站指标设定、APC操作员站投用、APC运行维持时间控制等步骤，常减压仿真APC投用实训任务交互步骤不少于78步。催化裂化仿真APC投用实训任务交互步骤不少于70步。</w:t>
      </w:r>
      <w:r/>
    </w:p>
    <w:p>
      <w:pPr>
        <w:ind w:firstLine="400"/>
        <w:spacing w:line="360" w:lineRule="auto"/>
      </w:pPr>
      <w:r>
        <w:rPr>
          <w:rFonts w:hint="eastAsia"/>
        </w:rPr>
        <w:t xml:space="preserve">★要求投标人提供常减压仿真APC投用实训任务软件操作</w:t>
      </w:r>
      <w:bookmarkStart w:id="37" w:name="OLE_LINK2"/>
      <w:r>
        <w:rPr>
          <w:rFonts w:hint="eastAsia"/>
        </w:rPr>
        <w:t xml:space="preserve">演示</w:t>
      </w:r>
      <w:bookmarkEnd w:id="37"/>
      <w:r>
        <w:rPr>
          <w:rFonts w:hint="eastAsia"/>
        </w:rPr>
        <w:t xml:space="preserve">视频，时长不少于1分钟。要求包含APC工程师站对减压塔顶温度、减一积油箱液位、减二回流流量等参数的操作下限和操作上限数据调整以及请求开关状态修改；APC操作员站将减压塔顶温度、减一积油箱液位、减二回流流量等参数的请求开关由OFF改为ON，投用APC，体现OTS软件与APC系统之间数据关联性；操作质量评分系统不少于78步的详细交互步骤以及APC工程师站和APC操作员站操作后，对应的操作步骤的评分变化。</w:t>
      </w:r>
      <w:r/>
    </w:p>
    <w:p>
      <w:pPr>
        <w:ind w:firstLine="400"/>
        <w:spacing w:line="360" w:lineRule="auto"/>
      </w:pPr>
      <w:r>
        <w:rPr>
          <w:rFonts w:hint="eastAsia"/>
        </w:rPr>
        <w:t xml:space="preserve">★要求投标人提供催化裂化仿真APC投用实训任务软件操作演示视频，时长不少于1分钟。要求包含APC工程师站对沉降室密相料位、提升管顶端温度、雾化蒸汽进口流量、再生器顶部压力等参数的操作下限和操作上限数据调整以及请求开关状态修改；APC操作员站将沉降室密相料位、提升管顶端温度、雾化蒸汽进口流量、再生器顶部压力等参数的请求开关由OFF改为ON，投用APC，体现OTS软件与APC系统之间数据关联性；操作质量评分系统不少于70步的详细交互步骤以及APC工程师站和APC操作员站操作后，对应的操作步骤的评分变化。</w:t>
      </w:r>
      <w:r/>
    </w:p>
    <w:p>
      <w:pPr>
        <w:ind w:firstLine="400"/>
        <w:spacing w:line="360" w:lineRule="auto"/>
      </w:pPr>
      <w:r>
        <w:rPr>
          <w:rFonts w:hint="eastAsia"/>
        </w:rPr>
        <w:t xml:space="preserve">4.3.2 APC工艺异常处置工况要求</w:t>
      </w:r>
      <w:r/>
    </w:p>
    <w:p>
      <w:pPr>
        <w:ind w:firstLine="400"/>
        <w:spacing w:line="360" w:lineRule="auto"/>
      </w:pPr>
      <w:r>
        <w:rPr>
          <w:rFonts w:hint="eastAsia"/>
        </w:rPr>
        <w:t xml:space="preserve">（1）要求通过常减压-催化裂化3D虚拟仿真软件，开展APC工艺异常处置工况，并能够通过常减压-催化裂化3D虚拟仿真软件，调用APC系统工程师站、APC系统操作员站。</w:t>
      </w:r>
      <w:r/>
    </w:p>
    <w:p>
      <w:pPr>
        <w:ind w:firstLine="400"/>
        <w:spacing w:line="360" w:lineRule="auto"/>
      </w:pPr>
      <w:r>
        <w:rPr>
          <w:rFonts w:hint="eastAsia"/>
        </w:rPr>
        <w:t xml:space="preserve">（2）要求提供APC工艺异常处置工况作业背景导入、理论知识介绍，帮助学生学习与了解APC知识、APC系统的使用以及任务背景和目标。</w:t>
      </w:r>
      <w:r/>
    </w:p>
    <w:p>
      <w:pPr>
        <w:ind w:firstLine="400"/>
        <w:spacing w:line="360" w:lineRule="auto"/>
      </w:pPr>
      <w:r>
        <w:rPr>
          <w:rFonts w:hint="eastAsia"/>
        </w:rPr>
        <w:t xml:space="preserve">（3）要求常减压仿真APC工艺异常处置实训任务至少包含APC禁用操作、工艺正常指标调整、APC投用操作等3个过程，交互步骤不少于53步。</w:t>
      </w:r>
      <w:r/>
    </w:p>
    <w:p>
      <w:pPr>
        <w:ind w:firstLine="400"/>
        <w:spacing w:line="360" w:lineRule="auto"/>
      </w:pPr>
      <w:r>
        <w:rPr>
          <w:rFonts w:hint="eastAsia"/>
        </w:rPr>
        <w:t xml:space="preserve">（4）要求催化裂化仿真APC工艺异常处置实训任务至少包含APC禁用操作、质量指标、APC投用操作等3个过程，交互步骤不少于43步。</w:t>
      </w:r>
      <w:r/>
    </w:p>
    <w:p>
      <w:pPr>
        <w:ind w:firstLine="200"/>
        <w:spacing w:line="360" w:lineRule="auto"/>
      </w:pPr>
      <w:r>
        <w:rPr>
          <w:rFonts w:hint="eastAsia"/>
        </w:rPr>
        <w:t xml:space="preserve">5、智能安全仪表联锁虚拟仿真系统</w:t>
      </w:r>
      <w:r/>
    </w:p>
    <w:p>
      <w:pPr>
        <w:ind w:firstLine="200"/>
        <w:spacing w:line="360" w:lineRule="auto"/>
      </w:pPr>
      <w:r>
        <w:rPr>
          <w:rFonts w:hint="eastAsia"/>
        </w:rPr>
        <w:t xml:space="preserve">5.1、整体建设要求</w:t>
      </w:r>
      <w:r/>
    </w:p>
    <w:p>
      <w:pPr>
        <w:spacing w:line="360" w:lineRule="auto"/>
      </w:pPr>
      <w:r>
        <w:rPr>
          <w:rFonts w:hint="eastAsia"/>
        </w:rPr>
        <w:t xml:space="preserve">    智能安全仪表联锁系统（SIS系统）是</w:t>
      </w:r>
      <w:r>
        <w:rPr>
          <w:rFonts w:hint="eastAsia"/>
        </w:rPr>
        <w:t xml:space="preserve">化工自动化的重要组成部分，具有覆盖面广、安全性高、响应速度快的特点。因其安全等级高于DCS的自动化控制系统，智能安全仪表联锁系统（SIS系统）独立于基本过程控制系统，以确保紧急情况下能够独立运行。系统能够监测生产过程中出现的或者潜伏的危险，发出告警信息或直接执行预定程序，立即进入操作，防止事故的发生、降低事故带来的危害及其影响，对于危险化工工艺装置，根据《危险化学品重大危险源监督管理暂行规定》（国家安全监管总局令第40号），涉及毒性气体、液化气体、剧毒液体的一级或二级重大危险源，必须配备独立的SIS系统。 </w:t>
      </w:r>
      <w:r/>
    </w:p>
    <w:p>
      <w:pPr>
        <w:ind w:firstLine="400"/>
        <w:spacing w:line="360" w:lineRule="auto"/>
      </w:pPr>
      <w:r>
        <w:rPr>
          <w:rFonts w:hint="eastAsia"/>
        </w:rPr>
        <w:t xml:space="preserve">智能安全仪表联锁虚拟仿真系统（SIS仿真系统），结合常减压催化裂化工艺在常减压工段和催化裂化工段设置不少于4条SIS联锁，培养学生掌握SIS运行过程，提高生产运行过程安全生产控制的“精操作、懂工艺”能力。</w:t>
      </w:r>
      <w:r/>
    </w:p>
    <w:p>
      <w:pPr>
        <w:ind w:firstLine="400"/>
        <w:spacing w:line="360" w:lineRule="auto"/>
      </w:pPr>
      <w:r>
        <w:rPr>
          <w:rFonts w:hint="eastAsia"/>
        </w:rPr>
        <w:t xml:space="preserve">要求提供智能安全仪表联锁虚拟仿真系统中文版和英文版各1套。</w:t>
      </w:r>
      <w:r/>
    </w:p>
    <w:p>
      <w:pPr>
        <w:ind w:firstLine="200"/>
        <w:spacing w:line="360" w:lineRule="auto"/>
      </w:pPr>
      <w:r>
        <w:rPr>
          <w:rFonts w:hint="eastAsia"/>
        </w:rPr>
        <w:t xml:space="preserve">5.2、操作员站模块功能要求</w:t>
      </w:r>
      <w:r/>
    </w:p>
    <w:p>
      <w:pPr>
        <w:ind w:firstLine="200"/>
        <w:spacing w:line="360" w:lineRule="auto"/>
      </w:pPr>
      <w:r>
        <w:rPr>
          <w:rFonts w:hint="eastAsia"/>
        </w:rPr>
        <w:t xml:space="preserve">（1）要求具备智能安全仪表联锁系统（SIS系统）报警功能，支持报警状态下，根据智能安全仪表联锁系统（SIS系统）相关的规范，产生相应的报警状态信息。</w:t>
      </w:r>
      <w:r/>
    </w:p>
    <w:p>
      <w:pPr>
        <w:ind w:firstLine="200"/>
        <w:spacing w:line="360" w:lineRule="auto"/>
      </w:pPr>
      <w:r>
        <w:rPr>
          <w:rFonts w:hint="eastAsia"/>
        </w:rPr>
        <w:t xml:space="preserve">（2）要求具备智能安全仪表联锁系统（SIS系统）报警恢复功能，支持模拟生产数据异常状态下，智能安全仪表联锁系统（SIS系统）能产生相应的报警信号，支持操作班组对生产异常的处置及智能安全仪表联锁系统（SIS系统）联锁回路解除（恢复）。</w:t>
      </w:r>
      <w:r/>
    </w:p>
    <w:p>
      <w:pPr>
        <w:ind w:firstLine="400"/>
        <w:spacing w:line="360" w:lineRule="auto"/>
      </w:pPr>
      <w:r>
        <w:rPr>
          <w:rFonts w:hint="eastAsia"/>
        </w:rPr>
        <w:t xml:space="preserve">5.3、实训任务要求</w:t>
      </w:r>
      <w:r/>
    </w:p>
    <w:p>
      <w:pPr>
        <w:ind w:firstLine="400"/>
        <w:spacing w:line="360" w:lineRule="auto"/>
      </w:pPr>
      <w:r>
        <w:rPr>
          <w:rFonts w:hint="eastAsia"/>
        </w:rPr>
        <w:t xml:space="preserve">智能安全仪表联锁虚拟仿真实训任务要求至少包含常减压仿真SIS投用、常减压仿真SIS联锁事故处理、催化裂化仿真SIS投用、催化裂化仿真SIS联锁事故处理等4个实训任务。实训任务包含理论知识、仿真操作、步骤引导与评价。实训任务旨在培养学生智能化生产控制与优化、应急处置等综合职业能力。</w:t>
      </w:r>
      <w:r/>
    </w:p>
    <w:p>
      <w:pPr>
        <w:ind w:firstLine="200"/>
        <w:spacing w:line="360" w:lineRule="auto"/>
      </w:pPr>
      <w:r>
        <w:rPr>
          <w:rFonts w:hint="eastAsia"/>
        </w:rPr>
        <w:t xml:space="preserve">5.3.1、SIS系统投用要求</w:t>
      </w:r>
      <w:r/>
    </w:p>
    <w:p>
      <w:pPr>
        <w:ind w:firstLine="400"/>
        <w:spacing w:line="360" w:lineRule="auto"/>
      </w:pPr>
      <w:r>
        <w:rPr>
          <w:rFonts w:hint="eastAsia"/>
        </w:rPr>
        <w:t xml:space="preserve">（1）要求通过</w:t>
      </w:r>
      <w:bookmarkStart w:id="38" w:name="OLE_LINK8"/>
      <w:r>
        <w:rPr>
          <w:rFonts w:hint="eastAsia"/>
        </w:rPr>
        <w:t xml:space="preserve">常减压-催化裂化3D虚拟仿真软件</w:t>
      </w:r>
      <w:bookmarkEnd w:id="38"/>
      <w:r>
        <w:rPr>
          <w:rFonts w:hint="eastAsia"/>
        </w:rPr>
        <w:t xml:space="preserve">，开展SIS系统投用工况，并能够调用SIS系统操作员站、SIS系统电子辅助操作台。</w:t>
      </w:r>
      <w:r/>
    </w:p>
    <w:p>
      <w:pPr>
        <w:ind w:firstLine="400"/>
        <w:spacing w:line="360" w:lineRule="auto"/>
      </w:pPr>
      <w:r>
        <w:rPr>
          <w:rFonts w:hint="eastAsia"/>
        </w:rPr>
        <w:t xml:space="preserve">（2）要求提供SIS系统投用工况作业背景导入、理论知识介绍，帮助学生学习与了解SIS知识、SIS系统的使用以及任务背景和目标。</w:t>
      </w:r>
      <w:r/>
    </w:p>
    <w:p>
      <w:pPr>
        <w:ind w:firstLine="400"/>
        <w:spacing w:line="360" w:lineRule="auto"/>
      </w:pPr>
      <w:r>
        <w:rPr>
          <w:rFonts w:hint="eastAsia"/>
        </w:rPr>
        <w:t xml:space="preserve">（3）要求常减压仿真SIS投用实训任务至少包含开车前准备工作、工艺开车操作、DCS联锁投用、SIS系统联锁投用、产品输出及系统投自动等5个过程，交互步骤不少于98步。</w:t>
      </w:r>
      <w:r/>
    </w:p>
    <w:p>
      <w:pPr>
        <w:ind w:firstLine="400"/>
        <w:spacing w:line="360" w:lineRule="auto"/>
      </w:pPr>
      <w:r>
        <w:rPr>
          <w:rFonts w:hint="eastAsia"/>
        </w:rPr>
        <w:t xml:space="preserve">（4）要求催化裂化仿真SIS投用实训任务至少包含开车前准备工作、工艺开车操作、DCS联锁投用、SIS系统联锁投用、产品输出及系统投自动等5个过程，交互步骤不少于99步。</w:t>
      </w:r>
      <w:r/>
    </w:p>
    <w:p>
      <w:pPr>
        <w:ind w:firstLine="400"/>
        <w:spacing w:line="360" w:lineRule="auto"/>
      </w:pPr>
      <w:r>
        <w:rPr>
          <w:rFonts w:hint="eastAsia"/>
        </w:rPr>
        <w:t xml:space="preserve">★要求投标人</w:t>
      </w:r>
      <w:bookmarkStart w:id="39" w:name="OLE_LINK12"/>
      <w:r>
        <w:rPr>
          <w:rFonts w:hint="eastAsia"/>
        </w:rPr>
        <w:t xml:space="preserve">提供常减压仿真SIS投用实训任务软件操作演示视频，时长不少于1分钟。</w:t>
      </w:r>
      <w:bookmarkEnd w:id="39"/>
      <w:r>
        <w:rPr>
          <w:rFonts w:hint="eastAsia"/>
        </w:rPr>
        <w:t xml:space="preserve">要求包含在 DCS 泵联锁界面不少于4个泵进行复位操作，以及不少于7个工艺参数（如初馏塔液位、常压塔液位）低低联锁投自动</w:t>
      </w:r>
      <w:bookmarkStart w:id="40" w:name="OLE_LINK5"/>
      <w:r>
        <w:rPr>
          <w:rFonts w:hint="eastAsia"/>
        </w:rPr>
        <w:t xml:space="preserve">，体现OTS软件与SIS系统之间数据关联性；</w:t>
      </w:r>
      <w:bookmarkEnd w:id="40"/>
      <w:r>
        <w:rPr>
          <w:rFonts w:hint="eastAsia"/>
        </w:rPr>
        <w:t xml:space="preserve">操作质量评分系统不少于98步的详细交互步骤以及相关操作后</w:t>
      </w:r>
      <w:bookmarkStart w:id="41" w:name="OLE_LINK11"/>
      <w:r>
        <w:rPr>
          <w:rFonts w:hint="eastAsia"/>
        </w:rPr>
        <w:t xml:space="preserve">对应的操作步骤的评分变化。</w:t>
      </w:r>
      <w:bookmarkEnd w:id="41"/>
      <w:r/>
      <w:r/>
    </w:p>
    <w:p>
      <w:pPr>
        <w:ind w:firstLine="400"/>
        <w:spacing w:line="360" w:lineRule="auto"/>
      </w:pPr>
      <w:r>
        <w:rPr>
          <w:rFonts w:hint="eastAsia"/>
        </w:rPr>
        <w:t xml:space="preserve">5.3.2、SIS</w:t>
      </w:r>
      <w:bookmarkStart w:id="42" w:name="OLE_LINK9"/>
      <w:r>
        <w:rPr>
          <w:rFonts w:hint="eastAsia"/>
        </w:rPr>
        <w:t xml:space="preserve">联锁事故处理</w:t>
      </w:r>
      <w:bookmarkEnd w:id="42"/>
      <w:r>
        <w:rPr>
          <w:rFonts w:hint="eastAsia"/>
        </w:rPr>
        <w:t xml:space="preserve">要求</w:t>
      </w:r>
      <w:r/>
    </w:p>
    <w:p>
      <w:pPr>
        <w:ind w:firstLine="400"/>
        <w:spacing w:line="360" w:lineRule="auto"/>
      </w:pPr>
      <w:r>
        <w:rPr>
          <w:rFonts w:hint="eastAsia"/>
        </w:rPr>
        <w:t xml:space="preserve">（1）要求通过常减压-催化裂化3D虚拟仿真软件，开展SIS联锁事故处理工况，并能够调用SIS系统操作员站、SIS系统电子辅助操作台。</w:t>
      </w:r>
      <w:r/>
    </w:p>
    <w:p>
      <w:pPr>
        <w:ind w:firstLine="400"/>
        <w:spacing w:line="360" w:lineRule="auto"/>
      </w:pPr>
      <w:r>
        <w:rPr>
          <w:rFonts w:hint="eastAsia"/>
        </w:rPr>
        <w:t xml:space="preserve">（2）要求提供SIS联锁事故处理工况作业背景导入、理论知识介绍，帮助学生学习与了解SIS知识、SIS系统的使用以及任务背景和目标。</w:t>
      </w:r>
      <w:r/>
    </w:p>
    <w:p>
      <w:pPr>
        <w:ind w:firstLine="400"/>
        <w:spacing w:line="360" w:lineRule="auto"/>
      </w:pPr>
      <w:r>
        <w:rPr>
          <w:rFonts w:hint="eastAsia"/>
        </w:rPr>
        <w:t xml:space="preserve">（3）要求常减压仿真SIS联锁事故处理实训任务至少包停泵，联锁投旁路重新投用联锁、调整初馏塔塔釜出口流里、扣分项等3个过程，交互步骤不少于19步。</w:t>
      </w:r>
      <w:r/>
    </w:p>
    <w:p>
      <w:pPr>
        <w:ind w:firstLine="400"/>
        <w:spacing w:line="360" w:lineRule="auto"/>
      </w:pPr>
      <w:r>
        <w:rPr>
          <w:rFonts w:hint="eastAsia"/>
        </w:rPr>
        <w:t xml:space="preserve">（4）要求催化裂化仿真SIS联锁事故处理实训任务至少包含确认SIS系统触发联锁、紧急处置、重新投用联锁等3个过程，交互步骤不少于67步。</w:t>
      </w:r>
      <w:r/>
    </w:p>
    <w:p>
      <w:pPr>
        <w:ind w:firstLine="400"/>
        <w:spacing w:line="360" w:lineRule="auto"/>
        <w:rPr>
          <w:highlight w:val="yellow"/>
        </w:rPr>
      </w:pPr>
      <w:r>
        <w:rPr>
          <w:rFonts w:hint="eastAsia"/>
        </w:rPr>
        <w:t xml:space="preserve">★要求投标人提供常减压仿真SIS联锁事故处理实训任务软件操作演示视频，时长不少于1分钟。演示SIS联锁事故处理工况操作过程，要求能够完成开车及开车后的SIS系统投用，体现OTS软件与SIS系统之间数据关联性；并演示相关操作后对应的操作步骤的评分变化。</w:t>
      </w:r>
      <w:r/>
    </w:p>
    <w:p>
      <w:pPr>
        <w:ind w:firstLine="400"/>
        <w:spacing w:line="360" w:lineRule="auto"/>
      </w:pPr>
      <w:r>
        <w:rPr>
          <w:rFonts w:hint="eastAsia"/>
        </w:rPr>
        <w:t xml:space="preserve">6、</w:t>
      </w:r>
      <w:bookmarkStart w:id="43" w:name="OLE_LINK18"/>
      <w:r>
        <w:rPr>
          <w:rFonts w:hint="eastAsia"/>
        </w:rPr>
        <w:t xml:space="preserve">智能巡检3D虚拟仿真系统</w:t>
      </w:r>
      <w:bookmarkEnd w:id="43"/>
      <w:r/>
      <w:r/>
    </w:p>
    <w:p>
      <w:pPr>
        <w:ind w:firstLine="400"/>
        <w:spacing w:line="360" w:lineRule="auto"/>
      </w:pPr>
      <w:r>
        <w:rPr>
          <w:rFonts w:hint="eastAsia"/>
        </w:rPr>
        <w:t xml:space="preserve">6.1、整体建设要求</w:t>
      </w:r>
      <w:r/>
    </w:p>
    <w:p>
      <w:pPr>
        <w:ind w:firstLine="400"/>
        <w:spacing w:line="360" w:lineRule="auto"/>
      </w:pPr>
      <w:r>
        <w:rPr>
          <w:rFonts w:hint="eastAsia"/>
        </w:rPr>
        <w:t xml:space="preserve">智能巡检3D虚拟仿真系统，在常减压-催化裂化3D场景中，通过在常减压-催化裂化工段设置巡检路线，重现现代化工企业智能巡检岗位的场景。学生可以完成现代化工智能巡检任务的教学实践。</w:t>
      </w:r>
      <w:r/>
    </w:p>
    <w:p>
      <w:pPr>
        <w:ind w:firstLine="400"/>
        <w:spacing w:line="360" w:lineRule="auto"/>
      </w:pPr>
      <w:r>
        <w:rPr>
          <w:rFonts w:hint="eastAsia"/>
        </w:rPr>
        <w:t xml:space="preserve">该系统需支持人工巡检与智能机器人全自动巡检两种模式。</w:t>
      </w:r>
      <w:r/>
    </w:p>
    <w:p>
      <w:pPr>
        <w:spacing w:line="360" w:lineRule="auto"/>
      </w:pPr>
      <w:r>
        <w:rPr>
          <w:rFonts w:hint="eastAsia"/>
        </w:rPr>
        <w:t xml:space="preserve">要求提供智能巡检3D虚拟仿真系统中文版和英文版各1套。</w:t>
      </w:r>
      <w:r/>
    </w:p>
    <w:p>
      <w:pPr>
        <w:ind w:firstLine="400"/>
        <w:spacing w:line="360" w:lineRule="auto"/>
      </w:pPr>
      <w:r>
        <w:rPr>
          <w:rFonts w:hint="eastAsia"/>
        </w:rPr>
        <w:t xml:space="preserve">6.2、模块功能要求</w:t>
      </w:r>
      <w:r/>
    </w:p>
    <w:p>
      <w:pPr>
        <w:ind w:firstLine="400"/>
        <w:spacing w:line="360" w:lineRule="auto"/>
      </w:pPr>
      <w:r>
        <w:rPr>
          <w:rFonts w:hint="eastAsia"/>
        </w:rPr>
        <w:t xml:space="preserve">6.2.1人工巡检模块</w:t>
      </w:r>
      <w:r/>
    </w:p>
    <w:p>
      <w:pPr>
        <w:ind w:firstLine="400"/>
        <w:spacing w:line="360" w:lineRule="auto"/>
      </w:pPr>
      <w:r>
        <w:rPr>
          <w:rFonts w:hint="eastAsia"/>
        </w:rPr>
        <w:t xml:space="preserve">要求支持结合常减压-催化裂化3D虚拟仿真软件，进行人工巡检任务选择、任务状态查看和任务进度监控和巡检单查看等功能，满足实训教学典型巡检教学任务管理和应用。</w:t>
      </w:r>
      <w:r/>
    </w:p>
    <w:p>
      <w:pPr>
        <w:ind w:firstLine="400"/>
        <w:spacing w:line="360" w:lineRule="auto"/>
      </w:pPr>
      <w:r>
        <w:rPr>
          <w:rFonts w:hint="eastAsia"/>
        </w:rPr>
        <w:t xml:space="preserve">（1）选择巡检任务，要求结合常减压-催化裂化3D仿真装置，进行巡检路线和巡检任务的选择。</w:t>
      </w:r>
      <w:r/>
    </w:p>
    <w:p>
      <w:pPr>
        <w:ind w:firstLine="400"/>
        <w:spacing w:line="360" w:lineRule="auto"/>
      </w:pPr>
      <w:r>
        <w:rPr>
          <w:rFonts w:hint="eastAsia"/>
        </w:rPr>
        <w:t xml:space="preserve">（2）要求支持查看巡检任务的状态。</w:t>
      </w:r>
      <w:r/>
    </w:p>
    <w:p>
      <w:pPr>
        <w:ind w:firstLine="400"/>
        <w:spacing w:line="360" w:lineRule="auto"/>
      </w:pPr>
      <w:r>
        <w:rPr>
          <w:rFonts w:hint="eastAsia"/>
        </w:rPr>
        <w:t xml:space="preserve">（3）要求支持巡检任务的巡检进度监控，支持以进度状态，确认实训教学巡检任务的完成情况。</w:t>
      </w:r>
      <w:r/>
    </w:p>
    <w:p>
      <w:pPr>
        <w:ind w:firstLine="400"/>
        <w:spacing w:line="360" w:lineRule="auto"/>
      </w:pPr>
      <w:r>
        <w:rPr>
          <w:rFonts w:hint="eastAsia"/>
        </w:rPr>
        <w:t xml:space="preserve">（4）支持以语音或文字方式向AI助手提问，系统须基于内置AI知识库进行精准回答与个性化讲解。</w:t>
      </w:r>
      <w:r/>
    </w:p>
    <w:p>
      <w:pPr>
        <w:ind w:firstLine="400"/>
        <w:spacing w:line="360" w:lineRule="auto"/>
      </w:pPr>
      <w:r>
        <w:rPr>
          <w:rFonts w:hint="eastAsia"/>
        </w:rPr>
        <w:t xml:space="preserve">（5）要求AI知识库深度整合常减压催化裂化工艺流程原理，动、静设备结构讲解、标准操作手册规范、常见事故案例库。</w:t>
      </w:r>
      <w:r/>
    </w:p>
    <w:p>
      <w:pPr>
        <w:ind w:firstLine="400"/>
        <w:spacing w:line="360" w:lineRule="auto"/>
      </w:pPr>
      <w:r>
        <w:rPr>
          <w:rFonts w:hint="eastAsia"/>
        </w:rPr>
        <w:t xml:space="preserve">6.2.2智能机器人全自动巡检模块</w:t>
      </w:r>
      <w:r/>
    </w:p>
    <w:p>
      <w:pPr>
        <w:ind w:firstLine="400"/>
        <w:spacing w:line="360" w:lineRule="auto"/>
      </w:pPr>
      <w:r>
        <w:rPr>
          <w:rFonts w:hint="eastAsia"/>
        </w:rPr>
        <w:t xml:space="preserve">（1）要求支持显示全自动巡检任务列表，支持查看全自动巡检任务发布时间和状态；</w:t>
      </w:r>
      <w:r/>
    </w:p>
    <w:p>
      <w:pPr>
        <w:ind w:firstLine="400"/>
        <w:spacing w:line="360" w:lineRule="auto"/>
      </w:pPr>
      <w:r>
        <w:rPr>
          <w:rFonts w:hint="eastAsia"/>
        </w:rPr>
        <w:t xml:space="preserve">（2）全自动巡检任务进行中，要求支持自动巡检任务的进度展示；</w:t>
      </w:r>
      <w:r/>
    </w:p>
    <w:p>
      <w:pPr>
        <w:ind w:firstLine="400"/>
        <w:spacing w:line="360" w:lineRule="auto"/>
      </w:pPr>
      <w:r>
        <w:rPr>
          <w:rFonts w:hint="eastAsia"/>
        </w:rPr>
        <w:t xml:space="preserve">（3）全自动巡检任务，要求支持查看巡检单情况；</w:t>
      </w:r>
      <w:r/>
    </w:p>
    <w:p>
      <w:pPr>
        <w:ind w:firstLine="400"/>
        <w:spacing w:line="360" w:lineRule="auto"/>
      </w:pPr>
      <w:r>
        <w:rPr>
          <w:rFonts w:hint="eastAsia"/>
        </w:rPr>
        <w:t xml:space="preserve">（4）全自动巡检任务，支持至少6条巡检路线的选择，每条巡检路线不少于10项巡检内容。</w:t>
      </w:r>
      <w:r/>
    </w:p>
    <w:p>
      <w:pPr>
        <w:ind w:firstLine="400"/>
        <w:spacing w:line="360" w:lineRule="auto"/>
      </w:pPr>
      <w:r>
        <w:rPr>
          <w:rFonts w:hint="eastAsia"/>
        </w:rPr>
        <w:t xml:space="preserve">（5）支持以语音或文字方式向AI助手提问，系统须基于内置AI知识库进行精准回答与个性化讲解。</w:t>
      </w:r>
      <w:r/>
    </w:p>
    <w:p>
      <w:pPr>
        <w:ind w:firstLine="400"/>
        <w:spacing w:line="360" w:lineRule="auto"/>
      </w:pPr>
      <w:r>
        <w:rPr>
          <w:rFonts w:hint="eastAsia"/>
        </w:rPr>
        <w:t xml:space="preserve">（6）要求AI知识库深度整合常减压催化裂化工艺流程原理，动、静设备结构讲解、标准操作手册规范、常见事故案例库。</w:t>
      </w:r>
      <w:r/>
    </w:p>
    <w:p>
      <w:pPr>
        <w:ind w:firstLine="400"/>
        <w:spacing w:line="360" w:lineRule="auto"/>
      </w:pPr>
      <w:r>
        <w:rPr>
          <w:rFonts w:hint="eastAsia"/>
        </w:rPr>
        <w:t xml:space="preserve">★要求投标人提供智能巡检系统人工巡检全流程演示视频，时长不少于1分钟。演示内容包括但不限于自定义巡检任务下发、人工巡检作业、AI知识助手交互、巡检结果呈现、巡检结果导出等。</w:t>
      </w:r>
      <w:r/>
    </w:p>
    <w:p>
      <w:pPr>
        <w:ind w:firstLine="400"/>
        <w:spacing w:line="360" w:lineRule="auto"/>
      </w:pPr>
      <w:r>
        <w:rPr>
          <w:rFonts w:hint="eastAsia"/>
        </w:rPr>
        <w:t xml:space="preserve">7、</w:t>
      </w:r>
      <w:bookmarkStart w:id="44" w:name="OLE_LINK19"/>
      <w:r>
        <w:rPr>
          <w:rFonts w:hint="eastAsia"/>
        </w:rPr>
        <w:t xml:space="preserve">智能EMS能源管理虚拟仿真系统</w:t>
      </w:r>
      <w:bookmarkEnd w:id="44"/>
      <w:r/>
      <w:r/>
    </w:p>
    <w:p>
      <w:pPr>
        <w:ind w:firstLine="400"/>
        <w:spacing w:line="360" w:lineRule="auto"/>
      </w:pPr>
      <w:r>
        <w:rPr>
          <w:rFonts w:hint="eastAsia"/>
        </w:rPr>
        <w:t xml:space="preserve">7.1、整体建设要求</w:t>
      </w:r>
      <w:r/>
    </w:p>
    <w:p>
      <w:pPr>
        <w:ind w:firstLine="400"/>
        <w:spacing w:line="360" w:lineRule="auto"/>
      </w:pPr>
      <w:r>
        <w:rPr>
          <w:rFonts w:hint="eastAsia"/>
        </w:rPr>
        <w:t xml:space="preserve">要求结合常减压催化裂化装置生产工艺仿真软件</w:t>
      </w:r>
      <w:r>
        <w:rPr>
          <w:rFonts w:hint="eastAsia"/>
        </w:rPr>
        <w:t xml:space="preserve">，通过智能能源管理虚拟仿真系统（EMS仿真系统），模拟实现仿真装置区能源数据采集、分析、监测、预警、优化等典型绿色石化智能能源管理场景，为学生构建贴近真实绿色石化工业场景的学习环境，培养学生认知绿色石化智能能源管理系统在装置能源利用效率提升、单位产品能耗降低、碳减排等方面的作用，以及跨系统协同优化思维、数据驱动决策的能力、能源管理优化与可持续发展意识、跨岗位沟通与任务协调能力。系统要求具备能源数据采集模块、能效分析与优化模块、能源数据可视化模块，能够联动仿真软件进行评分，并可展示不同操作工况下不同优化结果。</w:t>
      </w:r>
      <w:r/>
    </w:p>
    <w:p>
      <w:pPr>
        <w:ind w:firstLine="400"/>
        <w:spacing w:line="360" w:lineRule="auto"/>
      </w:pPr>
      <w:r>
        <w:rPr>
          <w:rFonts w:hint="eastAsia"/>
        </w:rPr>
        <w:t xml:space="preserve">要求提供智能EMS能源管理虚拟仿真系统中文版和英文版各1套。</w:t>
      </w:r>
      <w:r/>
    </w:p>
    <w:p>
      <w:pPr>
        <w:ind w:firstLine="400"/>
        <w:spacing w:line="360" w:lineRule="auto"/>
      </w:pPr>
      <w:r>
        <w:rPr>
          <w:rFonts w:hint="eastAsia"/>
        </w:rPr>
        <w:t xml:space="preserve">7.2、模块功能要求</w:t>
      </w:r>
      <w:r/>
    </w:p>
    <w:p>
      <w:pPr>
        <w:ind w:firstLine="400"/>
        <w:spacing w:line="360" w:lineRule="auto"/>
      </w:pPr>
      <w:r>
        <w:rPr>
          <w:rFonts w:hint="eastAsia"/>
        </w:rPr>
        <w:t xml:space="preserve">7.2.1能源数据采集模块</w:t>
      </w:r>
      <w:r/>
    </w:p>
    <w:p>
      <w:pPr>
        <w:ind w:firstLine="400"/>
        <w:spacing w:line="360" w:lineRule="auto"/>
      </w:pPr>
      <w:r>
        <w:rPr>
          <w:rFonts w:hint="eastAsia"/>
        </w:rPr>
        <w:t xml:space="preserve">要求结合常减压-催化裂化3D虚拟仿真软件，系统支持对常减压-催化裂化工艺的电、水、水蒸气、燃料、装置总能耗、碳排放等数据进行实时采集。</w:t>
      </w:r>
      <w:r/>
    </w:p>
    <w:p>
      <w:pPr>
        <w:ind w:firstLine="400"/>
        <w:spacing w:line="360" w:lineRule="auto"/>
      </w:pPr>
      <w:r>
        <w:rPr>
          <w:rFonts w:hint="eastAsia"/>
        </w:rPr>
        <w:t xml:space="preserve">7.2.2能效分析与优化模块</w:t>
      </w:r>
      <w:r/>
    </w:p>
    <w:p>
      <w:pPr>
        <w:ind w:firstLine="400"/>
        <w:spacing w:line="360" w:lineRule="auto"/>
      </w:pPr>
      <w:r>
        <w:rPr>
          <w:rFonts w:hint="eastAsia"/>
        </w:rPr>
        <w:t xml:space="preserve">要求支持对比的介质单耗至少包括：燃料单耗、电单耗、水单耗、水蒸气单耗。</w:t>
      </w:r>
      <w:r/>
    </w:p>
    <w:p>
      <w:pPr>
        <w:ind w:firstLine="400"/>
        <w:spacing w:line="360" w:lineRule="auto"/>
      </w:pPr>
      <w:r>
        <w:rPr>
          <w:rFonts w:hint="eastAsia"/>
        </w:rPr>
        <w:t xml:space="preserve">要求支持基于AI算法，自动对数据进行分析，并输出文字分析结论和后续优化建议。</w:t>
      </w:r>
      <w:r/>
    </w:p>
    <w:p>
      <w:pPr>
        <w:ind w:firstLine="400"/>
        <w:spacing w:line="360" w:lineRule="auto"/>
      </w:pPr>
      <w:r>
        <w:rPr>
          <w:rFonts w:hint="eastAsia"/>
        </w:rPr>
        <w:t xml:space="preserve">7.2.3能源数据可视化模块</w:t>
      </w:r>
      <w:r/>
    </w:p>
    <w:p>
      <w:pPr>
        <w:ind w:firstLine="400"/>
        <w:spacing w:line="360" w:lineRule="auto"/>
      </w:pPr>
      <w:r>
        <w:rPr>
          <w:rFonts w:hint="eastAsia"/>
        </w:rPr>
        <w:t xml:space="preserve">要求支持三维数字孪生工厂展示，包括常减压催化裂化全装置3D模型1:1复原，通过数字孪生3D化展示整个仿真工厂运行情况；</w:t>
      </w:r>
      <w:r/>
    </w:p>
    <w:p>
      <w:pPr>
        <w:ind w:firstLine="400"/>
        <w:spacing w:line="360" w:lineRule="auto"/>
      </w:pPr>
      <w:r>
        <w:rPr>
          <w:rFonts w:hint="eastAsia"/>
        </w:rPr>
        <w:t xml:space="preserve">要求支持现场不少于9座设备能耗、碳排放监测数据，并满足国家标准GB30251-2024。</w:t>
      </w:r>
      <w:r/>
    </w:p>
    <w:p>
      <w:pPr>
        <w:ind w:firstLine="400"/>
        <w:spacing w:line="360" w:lineRule="auto"/>
      </w:pPr>
      <w:r>
        <w:rPr>
          <w:rFonts w:hint="eastAsia"/>
        </w:rPr>
        <w:t xml:space="preserve">8、</w:t>
      </w:r>
      <w:bookmarkStart w:id="45" w:name="OLE_LINK20"/>
      <w:r>
        <w:rPr>
          <w:rFonts w:hint="eastAsia"/>
        </w:rPr>
        <w:t xml:space="preserve">智能设备预防性维护虚拟仿真系统</w:t>
      </w:r>
      <w:bookmarkEnd w:id="45"/>
      <w:r/>
      <w:r/>
    </w:p>
    <w:p>
      <w:pPr>
        <w:ind w:firstLine="400"/>
        <w:spacing w:line="360" w:lineRule="auto"/>
      </w:pPr>
      <w:r>
        <w:rPr>
          <w:rFonts w:hint="eastAsia"/>
        </w:rPr>
        <w:t xml:space="preserve">8.1、整体建设要求</w:t>
      </w:r>
      <w:r/>
    </w:p>
    <w:p>
      <w:pPr>
        <w:ind w:firstLine="400"/>
        <w:spacing w:line="360" w:lineRule="auto"/>
      </w:pPr>
      <w:r>
        <w:rPr>
          <w:rFonts w:hint="eastAsia"/>
        </w:rPr>
        <w:t xml:space="preserve">智能设备预防性维护虚拟仿真系统支持结合常减压催化裂化虚拟仿真软件，能够模拟工业离心泵预防性维护工作任务场景。通过模拟展示工业环境下离心泵振动数据自动采集，人工智能振动大数据分析的过程进行展示，带领学生（学员）学习人工智能大数据分析先进技术在工业中的实际应用的基础知识。</w:t>
      </w:r>
      <w:r/>
    </w:p>
    <w:p>
      <w:pPr>
        <w:ind w:firstLine="400"/>
        <w:spacing w:line="360" w:lineRule="auto"/>
      </w:pPr>
      <w:r>
        <w:rPr>
          <w:rFonts w:hint="eastAsia"/>
        </w:rPr>
        <w:t xml:space="preserve">要求提供智能设备预防性维护虚拟仿真系统中文版和英文版各1套。</w:t>
      </w:r>
      <w:r/>
    </w:p>
    <w:p>
      <w:pPr>
        <w:ind w:firstLine="400"/>
        <w:spacing w:line="360" w:lineRule="auto"/>
      </w:pPr>
      <w:r>
        <w:rPr>
          <w:rFonts w:hint="eastAsia"/>
        </w:rPr>
        <w:t xml:space="preserve">8.2、模块功能要求</w:t>
      </w:r>
      <w:r/>
    </w:p>
    <w:p>
      <w:pPr>
        <w:ind w:firstLine="400"/>
        <w:spacing w:line="360" w:lineRule="auto"/>
      </w:pPr>
      <w:r>
        <w:rPr>
          <w:rFonts w:hint="eastAsia"/>
        </w:rPr>
        <w:t xml:space="preserve">8.2.1设备预警模块</w:t>
      </w:r>
      <w:r/>
    </w:p>
    <w:p>
      <w:pPr>
        <w:ind w:firstLine="400"/>
        <w:spacing w:line="360" w:lineRule="auto"/>
      </w:pPr>
      <w:r>
        <w:rPr>
          <w:rFonts w:hint="eastAsia"/>
        </w:rPr>
        <w:t xml:space="preserve">根据下发的离心泵教学（培训）任务，模拟离心泵正常及外圈故障（故障直径7密耳，14密耳，21密耳），内圈故障（故障直径7密耳，14密耳，21密耳），滚动体故障（故障直径7密耳，14密耳，21密耳）等共9种不同状态振动信号。中控室根据离心泵振动状态监测系统的信息，能够自动产生报警信号。</w:t>
      </w:r>
      <w:r/>
    </w:p>
    <w:p>
      <w:pPr>
        <w:ind w:firstLine="400"/>
        <w:spacing w:line="360" w:lineRule="auto"/>
      </w:pPr>
      <w:r>
        <w:rPr>
          <w:rFonts w:hint="eastAsia"/>
        </w:rPr>
        <w:t xml:space="preserve">8.2.2监测数据展示模块</w:t>
      </w:r>
      <w:r/>
    </w:p>
    <w:p>
      <w:pPr>
        <w:ind w:firstLine="400"/>
        <w:spacing w:line="360" w:lineRule="auto"/>
      </w:pPr>
      <w:r>
        <w:rPr>
          <w:rFonts w:hint="eastAsia"/>
        </w:rPr>
        <w:t xml:space="preserve">要求能够结合常减压催化裂化3D仿真装置，展示巡检过程中遇到的离心泵异常情况，进行数据对接，能够通过三维数字孪生技术展示离心泵结构透视模型，展示不同异常信号下，能动态将当前机泵健康状态和设备信息及时推送到系统，满足设备智能管理和预警需要。</w:t>
      </w:r>
      <w:r/>
    </w:p>
    <w:p>
      <w:pPr>
        <w:ind w:firstLine="400"/>
        <w:spacing w:line="360" w:lineRule="auto"/>
      </w:pPr>
      <w:r>
        <w:rPr>
          <w:rFonts w:hint="eastAsia"/>
        </w:rPr>
        <w:t xml:space="preserve">9、</w:t>
      </w:r>
      <w:bookmarkStart w:id="46" w:name="OLE_LINK21"/>
      <w:r>
        <w:rPr>
          <w:rFonts w:hint="eastAsia"/>
        </w:rPr>
        <w:t xml:space="preserve">智能生产辅助决策虚拟仿真系统</w:t>
      </w:r>
      <w:bookmarkEnd w:id="46"/>
      <w:r/>
      <w:r/>
    </w:p>
    <w:p>
      <w:pPr>
        <w:ind w:firstLine="400"/>
        <w:spacing w:line="360" w:lineRule="auto"/>
      </w:pPr>
      <w:r>
        <w:rPr>
          <w:rFonts w:hint="eastAsia"/>
        </w:rPr>
        <w:t xml:space="preserve">9.1、整体建设要求</w:t>
      </w:r>
      <w:r/>
    </w:p>
    <w:p>
      <w:pPr>
        <w:ind w:firstLine="400"/>
        <w:spacing w:line="360" w:lineRule="auto"/>
      </w:pPr>
      <w:r>
        <w:rPr>
          <w:rFonts w:hint="eastAsia"/>
        </w:rPr>
        <w:t xml:space="preserve">要求结合常减压催化裂化工艺仿真软件，建设智能生产辅助决策虚拟仿真系统，集成流程工业生产过程关键要素监控、工艺关键参数监控、制造执行智能虚拟仿真系统（MES仿真系统）监控、智能设备预防性维护虚拟仿真系统监控、智能多变量</w:t>
      </w:r>
      <w:r>
        <w:rPr>
          <w:rFonts w:hint="eastAsia"/>
        </w:rPr>
        <w:t xml:space="preserve">先进控制虚拟仿真系统（APC仿真系统）监控、智能安全仪表联锁虚拟仿真系统（SIS仿真系统）监控、三维数字孪生工厂展示、三维管道流动展示、关键设备运行监控等9种或以上信息展示多种功能模块。能够满足院校针对虚拟仿真工厂生产运行要素的采集、分析和决策支持，实现生产优化、安全保障和管理决策的智能化，为管理者提供直观、全面的生产现场信息，从而提高管理决策的准确性和效率。通过实时监测、分析和控制，系统能够有效地提高生产效率、降低成本、优化工艺流程、提高安全性，构建智能生产领导驾驶舱体验，提升学生精益化管理智能工厂能力。</w:t>
      </w:r>
      <w:r/>
    </w:p>
    <w:p>
      <w:pPr>
        <w:ind w:firstLine="400"/>
        <w:spacing w:line="360" w:lineRule="auto"/>
      </w:pPr>
      <w:r>
        <w:rPr>
          <w:rFonts w:hint="eastAsia"/>
        </w:rPr>
        <w:t xml:space="preserve">要求提供智能生产辅助决策虚拟仿真系统中文版和英文版各1套。</w:t>
      </w:r>
      <w:r/>
    </w:p>
    <w:p>
      <w:pPr>
        <w:ind w:firstLine="400"/>
        <w:spacing w:line="360" w:lineRule="auto"/>
      </w:pPr>
      <w:r>
        <w:rPr>
          <w:rFonts w:hint="eastAsia"/>
        </w:rPr>
        <w:t xml:space="preserve">9.2、监控界面功能要求</w:t>
      </w:r>
      <w:r/>
    </w:p>
    <w:p>
      <w:pPr>
        <w:ind w:firstLine="400"/>
        <w:spacing w:line="360" w:lineRule="auto"/>
      </w:pPr>
      <w:r>
        <w:rPr>
          <w:rFonts w:hint="eastAsia"/>
        </w:rPr>
        <w:t xml:space="preserve">9.2.1生产指标监控</w:t>
      </w:r>
      <w:r/>
    </w:p>
    <w:p>
      <w:pPr>
        <w:ind w:firstLine="400"/>
        <w:spacing w:line="360" w:lineRule="auto"/>
      </w:pPr>
      <w:r>
        <w:rPr>
          <w:rFonts w:hint="eastAsia"/>
        </w:rPr>
        <w:t xml:space="preserve">（1）生产计划监控</w:t>
      </w:r>
      <w:r/>
    </w:p>
    <w:p>
      <w:pPr>
        <w:ind w:firstLine="400"/>
        <w:spacing w:line="360" w:lineRule="auto"/>
      </w:pPr>
      <w:r>
        <w:rPr>
          <w:rFonts w:hint="eastAsia"/>
        </w:rPr>
        <w:t xml:space="preserve">要求支持生产计划监控，包括现有生产计划总数、执行中的计划、已完成的计划、生产计划完成率、生产计划甘特图等功能可视化展示。能够直观反映仿真工厂生产计划执行情况，辅助管理者针对计划执行情况进行相应决策响应。对生产执行延期未执行情况进行监督指导。</w:t>
      </w:r>
      <w:r/>
    </w:p>
    <w:p>
      <w:pPr>
        <w:ind w:firstLine="400"/>
        <w:spacing w:line="360" w:lineRule="auto"/>
      </w:pPr>
      <w:r>
        <w:rPr>
          <w:rFonts w:hint="eastAsia"/>
        </w:rPr>
        <w:t xml:space="preserve">（2）生产指令监控</w:t>
      </w:r>
      <w:r/>
    </w:p>
    <w:p>
      <w:pPr>
        <w:ind w:firstLine="400"/>
        <w:spacing w:line="360" w:lineRule="auto"/>
      </w:pPr>
      <w:r>
        <w:rPr>
          <w:rFonts w:hint="eastAsia"/>
        </w:rPr>
        <w:t xml:space="preserve">要求支持生产指令监控，包括生产指令达成率、生产指令类型分析、生产指令列表等可视化展示。能够通过指令达成情况和生产指令执行状态，辅助管理者对生产指令进行监控，提升仿真工厂指令执行效率，避免出现执行不到位的情况。</w:t>
      </w:r>
      <w:r/>
    </w:p>
    <w:p>
      <w:pPr>
        <w:ind w:firstLine="400"/>
        <w:spacing w:line="360" w:lineRule="auto"/>
      </w:pPr>
      <w:r>
        <w:rPr>
          <w:rFonts w:hint="eastAsia"/>
        </w:rPr>
        <w:t xml:space="preserve">（3）生产质量监控</w:t>
      </w:r>
      <w:r/>
    </w:p>
    <w:p>
      <w:pPr>
        <w:ind w:firstLine="400"/>
        <w:spacing w:line="360" w:lineRule="auto"/>
      </w:pPr>
      <w:r>
        <w:rPr>
          <w:rFonts w:hint="eastAsia"/>
        </w:rPr>
        <w:t xml:space="preserve">要求支持生产质量监控，包括原料纯度、产品纯度、产品浓度变化趋势监控等可视化展示。能够反应原料质量变化和产品质量变化，实时进行监控并对产品质量低于基准值时进行预警。辅助管理者对质量进行监控跟踪，提升产品品质和质量稳定性。</w:t>
      </w:r>
      <w:r/>
    </w:p>
    <w:p>
      <w:pPr>
        <w:ind w:firstLine="400"/>
        <w:spacing w:line="360" w:lineRule="auto"/>
      </w:pPr>
      <w:r>
        <w:rPr>
          <w:rFonts w:hint="eastAsia"/>
        </w:rPr>
        <w:t xml:space="preserve">（4）生产能耗监控</w:t>
      </w:r>
      <w:r/>
    </w:p>
    <w:p>
      <w:pPr>
        <w:ind w:firstLine="400"/>
        <w:spacing w:line="360" w:lineRule="auto"/>
      </w:pPr>
      <w:r>
        <w:rPr>
          <w:rFonts w:hint="eastAsia"/>
        </w:rPr>
        <w:t xml:space="preserve">要求支持生产能耗监控，包括当班能耗内容可视化展示。能够帮助管理者实时监控整个仿真工厂能耗数据，并通过与基准消耗值比较反应当前能耗水平，供管理者根据能耗及时调整生产计划和工艺参数，降低生产成本提升生产效率。</w:t>
      </w:r>
      <w:r/>
    </w:p>
    <w:p>
      <w:pPr>
        <w:ind w:firstLine="400"/>
        <w:spacing w:line="360" w:lineRule="auto"/>
      </w:pPr>
      <w:r>
        <w:rPr>
          <w:rFonts w:hint="eastAsia"/>
        </w:rPr>
        <w:t xml:space="preserve">（5）生产原料监控</w:t>
      </w:r>
      <w:r/>
    </w:p>
    <w:p>
      <w:pPr>
        <w:ind w:firstLine="400"/>
        <w:spacing w:line="360" w:lineRule="auto"/>
      </w:pPr>
      <w:r>
        <w:rPr>
          <w:rFonts w:hint="eastAsia"/>
        </w:rPr>
        <w:t xml:space="preserve">要求支持生产原料监控，包括库存量、库存率、库存用量趋势图等可视化展示。通过对原料持续跟踪，能够提供管理者原料消耗情况，并还可根据库存预警值智能提示原料库存状态，提升生产原料周转效率，保证生产计划稳定执行。</w:t>
      </w:r>
      <w:r/>
    </w:p>
    <w:p>
      <w:pPr>
        <w:ind w:firstLine="400"/>
        <w:spacing w:line="360" w:lineRule="auto"/>
      </w:pPr>
      <w:r>
        <w:rPr>
          <w:rFonts w:hint="eastAsia"/>
        </w:rPr>
        <w:t xml:space="preserve">（6）生产物料监控</w:t>
      </w:r>
      <w:r/>
    </w:p>
    <w:p>
      <w:pPr>
        <w:ind w:firstLine="400"/>
        <w:spacing w:line="360" w:lineRule="auto"/>
      </w:pPr>
      <w:r>
        <w:rPr>
          <w:rFonts w:hint="eastAsia"/>
        </w:rPr>
        <w:t xml:space="preserve">要求支持生产物料监控，包括库存成品、成品库存率、成品入库情况等可视化展示。能够提供管理者对于成品库存监控，提升成品转运效率。</w:t>
      </w:r>
      <w:r/>
    </w:p>
    <w:p>
      <w:pPr>
        <w:ind w:firstLine="400"/>
        <w:spacing w:line="360" w:lineRule="auto"/>
      </w:pPr>
      <w:r>
        <w:rPr>
          <w:rFonts w:hint="eastAsia"/>
        </w:rPr>
        <w:t xml:space="preserve">（7）实时生产数据监控</w:t>
      </w:r>
      <w:r/>
    </w:p>
    <w:p>
      <w:pPr>
        <w:ind w:firstLine="400"/>
        <w:spacing w:line="360" w:lineRule="auto"/>
      </w:pPr>
      <w:r>
        <w:rPr>
          <w:rFonts w:hint="eastAsia"/>
        </w:rPr>
        <w:t xml:space="preserve">要求支持实时生产数据监控，包括当班计划产量、当班预计产量、当班产量达成率、当前装置负载率、当班成品产出。能够通过工艺数据实时预测产量变化，提示生产计划完成情况，辅助管理者合理平衡生产、设备和产出三者关系，提升装置稳定性、提升产量、提高产值。</w:t>
      </w:r>
      <w:r/>
    </w:p>
    <w:p>
      <w:pPr>
        <w:ind w:firstLine="400"/>
        <w:spacing w:line="360" w:lineRule="auto"/>
      </w:pPr>
      <w:r>
        <w:rPr>
          <w:rFonts w:hint="eastAsia"/>
        </w:rPr>
        <w:t xml:space="preserve">9.2.2场所危害监控</w:t>
      </w:r>
      <w:r/>
    </w:p>
    <w:p>
      <w:pPr>
        <w:ind w:firstLine="400"/>
        <w:spacing w:line="360" w:lineRule="auto"/>
      </w:pPr>
      <w:r>
        <w:rPr>
          <w:rFonts w:hint="eastAsia"/>
        </w:rPr>
        <w:t xml:space="preserve">要求支持场所危害监控包括环境噪音、环境粉尘、环境有毒气体浓度等危害情况进行可视化展示。通过对仿真工厂场所危害物质监控，对于超过国标数值情况进行警示，提升管理者对场所危害重视程度，提升人员职业病预防水平。</w:t>
      </w:r>
      <w:r/>
    </w:p>
    <w:p>
      <w:pPr>
        <w:ind w:firstLine="400"/>
        <w:spacing w:line="360" w:lineRule="auto"/>
      </w:pPr>
      <w:r>
        <w:rPr>
          <w:rFonts w:hint="eastAsia"/>
        </w:rPr>
        <w:t xml:space="preserve">9.2.3设备运行状态监控</w:t>
      </w:r>
      <w:r/>
    </w:p>
    <w:p>
      <w:pPr>
        <w:ind w:firstLine="400"/>
        <w:spacing w:line="360" w:lineRule="auto"/>
      </w:pPr>
      <w:r>
        <w:rPr>
          <w:rFonts w:hint="eastAsia"/>
        </w:rPr>
        <w:t xml:space="preserve">要求支持设备运行状态监控，包括设备总数、正常运行设备、异常报警设备、异常分析、异常处置记录列表、各工段设备情况、设备检维修状态分析等情况可视化展示。能够辅助管理者对全厂区重点设备进行监控，对仿真工厂设备异常进行实时监控，分析仿真工厂异常出现趋势，对已发生异常进行监控跟踪，提升异常处置时效性，保证生产计划顺利执行。</w:t>
      </w:r>
      <w:r/>
    </w:p>
    <w:p>
      <w:pPr>
        <w:ind w:firstLine="400"/>
        <w:spacing w:line="360" w:lineRule="auto"/>
      </w:pPr>
      <w:r>
        <w:rPr>
          <w:rFonts w:hint="eastAsia"/>
        </w:rPr>
        <w:t xml:space="preserve">9.2.4多变量先进控制器运行监控</w:t>
      </w:r>
      <w:r/>
    </w:p>
    <w:p>
      <w:pPr>
        <w:ind w:firstLine="400"/>
        <w:spacing w:line="360" w:lineRule="auto"/>
      </w:pPr>
      <w:r>
        <w:rPr>
          <w:rFonts w:hint="eastAsia"/>
        </w:rPr>
        <w:t xml:space="preserve">要求支持多变量先进控制器运行监控，包括APC运行状态、组分分析、组分变化趋势等可视化展示。能够直观反应多变量先进控制器APC投用状态，跟踪投用后设备运行状态，辅助管理者掌控APC运行情况观察APC质量卡边操作状态。</w:t>
      </w:r>
      <w:r/>
    </w:p>
    <w:p>
      <w:pPr>
        <w:ind w:firstLine="400"/>
        <w:spacing w:line="360" w:lineRule="auto"/>
      </w:pPr>
      <w:r>
        <w:rPr>
          <w:rFonts w:hint="eastAsia"/>
        </w:rPr>
        <w:t xml:space="preserve">9.2.5智能安全仪表系统运行监控</w:t>
      </w:r>
      <w:r/>
    </w:p>
    <w:p>
      <w:pPr>
        <w:ind w:firstLine="400"/>
        <w:spacing w:line="360" w:lineRule="auto"/>
      </w:pPr>
      <w:r>
        <w:rPr>
          <w:rFonts w:hint="eastAsia"/>
        </w:rPr>
        <w:t xml:space="preserve">要求支持智能安全仪表系统运行监控，包括某一典型核心设备联锁监控可视化展示，辅助管理者关注装置安全运行，提升装置安全仪表异常处置速度，确保生产安全平稳运行。</w:t>
      </w:r>
      <w:r/>
    </w:p>
    <w:p>
      <w:pPr>
        <w:ind w:firstLine="400"/>
        <w:spacing w:line="360" w:lineRule="auto"/>
      </w:pPr>
      <w:r>
        <w:rPr>
          <w:rFonts w:hint="eastAsia"/>
        </w:rPr>
        <w:t xml:space="preserve">9.2.6数字孪生仿真工厂监控预警</w:t>
      </w:r>
      <w:r/>
    </w:p>
    <w:p>
      <w:pPr>
        <w:ind w:firstLine="400"/>
        <w:spacing w:line="360" w:lineRule="auto"/>
      </w:pPr>
      <w:r>
        <w:rPr>
          <w:rFonts w:hint="eastAsia"/>
        </w:rPr>
        <w:t xml:space="preserve">要求支持数字孪生仿真工厂监控预警，包括典型工艺装置工段工艺数据监控、安全仪表策略运行情况、设备预防性维护状态监控、全装置3D模型1:1复原展示、全装置主要管线流动状态展示等。通过数字孪生3D化展示整个虚拟仿真工厂运行情况，动态提示安全情况和设备预防性维护情况，辅助管理人员实时关注虚拟仿真工厂运行数据和运行状态，提升对整个虚拟仿真工厂态势把控，提升管理水平和相关手段。</w:t>
      </w:r>
      <w:r/>
    </w:p>
    <w:p>
      <w:pPr>
        <w:ind w:firstLine="400"/>
        <w:spacing w:line="360" w:lineRule="auto"/>
      </w:pPr>
      <w:r>
        <w:rPr>
          <w:rFonts w:hint="eastAsia"/>
        </w:rPr>
        <w:t xml:space="preserve">10、特殊作业3D虚拟仿真系统</w:t>
      </w:r>
      <w:r/>
    </w:p>
    <w:p>
      <w:pPr>
        <w:ind w:firstLine="400"/>
        <w:spacing w:line="360" w:lineRule="auto"/>
      </w:pPr>
      <w:r>
        <w:rPr>
          <w:rFonts w:hint="eastAsia"/>
        </w:rPr>
        <w:t xml:space="preserve">10.1、整体建设要求</w:t>
      </w:r>
      <w:r/>
    </w:p>
    <w:p>
      <w:pPr>
        <w:ind w:firstLine="400"/>
        <w:spacing w:line="360" w:lineRule="auto"/>
      </w:pPr>
      <w:r>
        <w:rPr>
          <w:rFonts w:hint="eastAsia"/>
        </w:rPr>
        <w:t xml:space="preserve">按照常减压-催化裂化智能石化工厂的安全实训设备的受限空间作业实训装置和高处作业实训装置操作流程，在常减压-催化裂化3D虚拟仿真软件中，实现受限空间作业和高处作业这两种特殊作业操作流程的复刻，让学员在3D软件中进行受限空间作业和高处作业体验。</w:t>
      </w:r>
      <w:r/>
    </w:p>
    <w:p>
      <w:pPr>
        <w:ind w:firstLine="400"/>
        <w:spacing w:line="360" w:lineRule="auto"/>
      </w:pPr>
      <w:r>
        <w:rPr>
          <w:rFonts w:hint="eastAsia"/>
        </w:rPr>
        <w:t xml:space="preserve">要求提供特殊作业3D虚拟仿真系统中文版和英文版各1套。</w:t>
      </w:r>
      <w:r/>
    </w:p>
    <w:p>
      <w:pPr>
        <w:ind w:firstLine="400"/>
        <w:spacing w:line="360" w:lineRule="auto"/>
      </w:pPr>
      <w:r>
        <w:rPr>
          <w:rFonts w:hint="eastAsia"/>
        </w:rPr>
        <w:t xml:space="preserve">10.2、包含模块</w:t>
      </w:r>
      <w:r/>
    </w:p>
    <w:p>
      <w:pPr>
        <w:ind w:firstLine="400"/>
        <w:spacing w:line="360" w:lineRule="auto"/>
      </w:pPr>
      <w:r>
        <w:rPr>
          <w:rFonts w:hint="eastAsia"/>
        </w:rPr>
        <w:t xml:space="preserve">（1）受限空间作业3D虚拟仿真</w:t>
      </w:r>
      <w:r/>
    </w:p>
    <w:p>
      <w:pPr>
        <w:ind w:firstLine="400"/>
        <w:spacing w:line="360" w:lineRule="auto"/>
      </w:pPr>
      <w:r>
        <w:rPr>
          <w:rFonts w:hint="eastAsia"/>
        </w:rPr>
        <w:t xml:space="preserve">（2）高处作业3D虚拟仿真</w:t>
      </w:r>
      <w:r/>
    </w:p>
    <w:p>
      <w:pPr>
        <w:ind w:firstLine="400"/>
        <w:spacing w:line="360" w:lineRule="auto"/>
      </w:pPr>
      <w:r>
        <w:rPr>
          <w:rFonts w:hint="eastAsia"/>
        </w:rPr>
        <w:t xml:space="preserve">10.3、培训内容要求</w:t>
      </w:r>
      <w:r/>
    </w:p>
    <w:p>
      <w:pPr>
        <w:ind w:firstLine="400"/>
        <w:spacing w:line="360" w:lineRule="auto"/>
      </w:pPr>
      <w:r>
        <w:rPr>
          <w:rFonts w:hint="eastAsia"/>
        </w:rPr>
        <w:t xml:space="preserve">10.3.1受限空间作业3D虚拟仿真</w:t>
      </w:r>
      <w:r/>
    </w:p>
    <w:p>
      <w:pPr>
        <w:ind w:firstLine="400"/>
        <w:spacing w:line="360" w:lineRule="auto"/>
      </w:pPr>
      <w:r>
        <w:rPr>
          <w:rFonts w:hint="eastAsia"/>
        </w:rPr>
        <w:t xml:space="preserve">（1）受限空间作业背景要求</w:t>
      </w:r>
      <w:r/>
    </w:p>
    <w:p>
      <w:pPr>
        <w:ind w:firstLine="400"/>
        <w:spacing w:line="360" w:lineRule="auto"/>
      </w:pPr>
      <w:r>
        <w:rPr>
          <w:rFonts w:hint="eastAsia"/>
        </w:rPr>
        <w:t xml:space="preserve">装置处于停车期间，常减压－催化裂化装置原油罐V001按计划准备检修，罐内目前约有30%的原料液，现需要对该储罐交出，使其具备作业条件，并安排人员进入V001内部进行检查、清扫。交出过程包括物料倒空、水冲洗、设备隔离及吹扫置换等操作。</w:t>
      </w:r>
      <w:r/>
    </w:p>
    <w:p>
      <w:pPr>
        <w:ind w:firstLine="400"/>
        <w:spacing w:line="360" w:lineRule="auto"/>
      </w:pPr>
      <w:r>
        <w:rPr>
          <w:rFonts w:hint="eastAsia"/>
        </w:rPr>
        <w:t xml:space="preserve">介质：硫化氢、石油烃、酸性气体等。 根据《海洋石油作业硫化氢防护安全要求》及《含硫化氢油气井安全钻井推荐作法》，要求作业环境硫化氢浓度应小于10ppm。</w:t>
      </w:r>
      <w:r/>
    </w:p>
    <w:p>
      <w:pPr>
        <w:ind w:firstLine="400"/>
        <w:spacing w:line="360" w:lineRule="auto"/>
      </w:pPr>
      <w:r>
        <w:rPr>
          <w:rFonts w:hint="eastAsia"/>
        </w:rPr>
        <w:t xml:space="preserve">（2）受限空间作业流程</w:t>
      </w:r>
      <w:r/>
    </w:p>
    <w:p>
      <w:pPr>
        <w:ind w:firstLine="400"/>
        <w:spacing w:line="360" w:lineRule="auto"/>
      </w:pPr>
      <w:r>
        <w:rPr>
          <w:rFonts w:hint="eastAsia"/>
        </w:rPr>
        <w:t xml:space="preserve">受限空间作业实训过程至少包含五个阶段。第一阶段：工艺交出；第二阶段：工作申请及JSA风险评估；第三阶段：安全措施检查与审批；第四阶段工作过程监督：第五阶段：完工验收。</w:t>
      </w:r>
      <w:r/>
    </w:p>
    <w:p>
      <w:pPr>
        <w:ind w:firstLine="400"/>
        <w:spacing w:line="360" w:lineRule="auto"/>
      </w:pPr>
      <w:r>
        <w:rPr>
          <w:rFonts w:hint="eastAsia"/>
        </w:rPr>
        <w:t xml:space="preserve">工艺交出，要求系统通过盲板抽堵、能量隔离及低压氮气置换合格后，进行自然通风，当置换口分析样显示可燃气体含量LEL&lt;0.5%、H2S含量&lt;10ppm时，即具备进入检修作业条件。</w:t>
      </w:r>
      <w:r/>
    </w:p>
    <w:p>
      <w:pPr>
        <w:ind w:firstLine="400"/>
        <w:spacing w:line="360" w:lineRule="auto"/>
      </w:pPr>
      <w:r>
        <w:rPr>
          <w:rFonts w:hint="eastAsia"/>
        </w:rPr>
        <w:t xml:space="preserve">工作申请及JSA风险评估，主要目的是通过作业申请流程，确保受限空间作业得到必要的审批和许可，同时利用JSA风险评估方法，全面识别和分析作业过程中可能存在的安全风险，制定相应的风险控制和预防措施，以保障作业人员的安全，防止事故发生。</w:t>
      </w:r>
      <w:r/>
    </w:p>
    <w:p>
      <w:pPr>
        <w:ind w:firstLine="400"/>
        <w:spacing w:line="360" w:lineRule="auto"/>
      </w:pPr>
      <w:r>
        <w:rPr>
          <w:rFonts w:hint="eastAsia"/>
        </w:rPr>
        <w:t xml:space="preserve">在“作业申请及JSA风险评估”模块中，要求开发包含但不限于作业票申请过程、JSA风险评估过程、劳保用品穿戴过程等主要交互操作。</w:t>
      </w:r>
      <w:r/>
    </w:p>
    <w:p>
      <w:pPr>
        <w:ind w:firstLine="400"/>
        <w:spacing w:line="360" w:lineRule="auto"/>
      </w:pPr>
      <w:r>
        <w:rPr>
          <w:rFonts w:hint="eastAsia"/>
        </w:rPr>
        <w:t xml:space="preserve">◆要求投标人提供工作申请及JSA风险评估阶段软件操作截图，数量不少于3张，包含作业票申请过程的截图、JSA风险评估表及资料说明的内容截图、检修人员劳保用品穿戴选择的截图。</w:t>
      </w:r>
      <w:r/>
    </w:p>
    <w:p>
      <w:pPr>
        <w:ind w:firstLine="400"/>
        <w:spacing w:line="360" w:lineRule="auto"/>
      </w:pPr>
      <w:r>
        <w:rPr>
          <w:rFonts w:hint="eastAsia"/>
        </w:rPr>
        <w:t xml:space="preserve">安全措施检查与审批，主要目的是通过安全措施检查及审批流程，确保受限空间作业所需的安全措施得到全面的审查和批准。这一环节要求详细列出所有必要的安全措施，包括但不限于通风、照明、防护设备、应急设备等，并由对应的人员对措施的有效性和可行性进行审查确认。审查通过后，方可进入下一步作业实施阶段，从而确保作业过程的安全性和可控性。</w:t>
      </w:r>
      <w:r/>
    </w:p>
    <w:p>
      <w:pPr>
        <w:ind w:firstLine="400"/>
        <w:spacing w:line="360" w:lineRule="auto"/>
      </w:pPr>
      <w:r>
        <w:rPr>
          <w:rFonts w:hint="eastAsia"/>
        </w:rPr>
        <w:t xml:space="preserve">在“安全措施检查查及审批”模块中，要求开发包含但不限于作业票安全措施编制、作业票安全措施确认、现场设备工器具检查、气体检测分析、现场安全措施落实、安全交底等主要交互操作。</w:t>
      </w:r>
      <w:r/>
    </w:p>
    <w:p>
      <w:pPr>
        <w:ind w:firstLine="400"/>
        <w:spacing w:line="360" w:lineRule="auto"/>
      </w:pPr>
      <w:r>
        <w:rPr>
          <w:rFonts w:hint="eastAsia"/>
        </w:rPr>
        <w:t xml:space="preserve">◆要求投标人提供安全措施检查与审批阶段软件操作截图，数量不少于4张，包含作业票安全措施编制部分的内容截图、气体检测数据填写及气体检测依据资料的内容截图、现场工器具检查、安全交底的内容截图。</w:t>
      </w:r>
      <w:r/>
    </w:p>
    <w:p>
      <w:pPr>
        <w:ind w:firstLine="400"/>
        <w:spacing w:line="360" w:lineRule="auto"/>
      </w:pPr>
      <w:r>
        <w:rPr>
          <w:rFonts w:hint="eastAsia"/>
        </w:rPr>
        <w:t xml:space="preserve">工作过程监督，主要目的是通过工作及过程监督，实现对受限空间作业全过程的有效监控和管理。确保作业过程严格按照既定的安全措施和操作规程进行，及时发现并纠正作业中的违规行为或安全隐患。通过实时记录作业过程中的关键信息和数据，为后续的安全评估和改进提供依据，进一步提升受限空间作业的安全性和效率。</w:t>
      </w:r>
      <w:r/>
    </w:p>
    <w:p>
      <w:pPr>
        <w:ind w:firstLine="400"/>
        <w:spacing w:line="360" w:lineRule="auto"/>
      </w:pPr>
      <w:r>
        <w:rPr>
          <w:rFonts w:hint="eastAsia"/>
        </w:rPr>
        <w:t xml:space="preserve">在“工作及过程监督”模块中，要求开发包含但不限于票证公示、作业前信息登记、检修过程、作业过程中安全检查实施、应急处置流程等主要交互操作。</w:t>
      </w:r>
      <w:r/>
    </w:p>
    <w:p>
      <w:pPr>
        <w:ind w:firstLine="400"/>
        <w:spacing w:line="360" w:lineRule="auto"/>
      </w:pPr>
      <w:r>
        <w:rPr>
          <w:rFonts w:hint="eastAsia"/>
        </w:rPr>
        <w:t xml:space="preserve">◆要求投标人提供工作过程监督阶段软件操作截图，数量不少于4张，包含票证公示的内容截图、进入受限空间信息登记的内容截图、应急处置的内容截图、安全检查实施及有效沟通的内容截图。</w:t>
      </w:r>
      <w:r/>
    </w:p>
    <w:p>
      <w:pPr>
        <w:ind w:firstLine="400"/>
        <w:spacing w:line="360" w:lineRule="auto"/>
      </w:pPr>
      <w:r>
        <w:rPr>
          <w:rFonts w:hint="eastAsia"/>
        </w:rPr>
        <w:t xml:space="preserve">完工验收，主要目的是确保受限空间作业项目按照既定的安全标准和操作规程顺利完成，对作业质量、安全措施落实情况及作业效果进行全面检查和评估。通过完工验收，及时发现并纠正可能存在的安全隐患或不足之处，确保受限空间作业项目的安全性和可靠性，为后续的安全生产提供有力保障。</w:t>
      </w:r>
      <w:r/>
    </w:p>
    <w:p>
      <w:pPr>
        <w:ind w:firstLine="400"/>
        <w:spacing w:line="360" w:lineRule="auto"/>
      </w:pPr>
      <w:r>
        <w:rPr>
          <w:rFonts w:hint="eastAsia"/>
        </w:rPr>
        <w:t xml:space="preserve">在“完工验收”模块中，要求开发包含但不限于包含现场清理、填写受限空间登记表、作业票验收、验收交付等主要交互操作。</w:t>
      </w:r>
      <w:r/>
    </w:p>
    <w:p>
      <w:pPr>
        <w:ind w:firstLine="400"/>
        <w:spacing w:line="360" w:lineRule="auto"/>
      </w:pPr>
      <w:r>
        <w:rPr>
          <w:rFonts w:hint="eastAsia"/>
        </w:rPr>
        <w:t xml:space="preserve">◆要求投标人提供完工验收阶段软件操作截图，数量不少于3张，包含作业票验收签字部分的内容截图、受限空间登记表（出来登记）的内容截图、完工后现场清理的内容截图。</w:t>
      </w:r>
      <w:r/>
    </w:p>
    <w:p>
      <w:pPr>
        <w:ind w:firstLine="400"/>
        <w:spacing w:line="360" w:lineRule="auto"/>
      </w:pPr>
      <w:r>
        <w:rPr>
          <w:rFonts w:hint="eastAsia"/>
        </w:rPr>
        <w:t xml:space="preserve">10.3.2高处作业3D虚拟仿真</w:t>
      </w:r>
      <w:r/>
    </w:p>
    <w:p>
      <w:pPr>
        <w:ind w:firstLine="400"/>
        <w:spacing w:line="360" w:lineRule="auto"/>
      </w:pPr>
      <w:r>
        <w:rPr>
          <w:rFonts w:hint="eastAsia"/>
        </w:rPr>
        <w:t xml:space="preserve">（1）高处作业背景要求</w:t>
      </w:r>
      <w:r/>
    </w:p>
    <w:p>
      <w:pPr>
        <w:ind w:firstLine="400"/>
        <w:spacing w:line="360" w:lineRule="auto"/>
      </w:pPr>
      <w:r>
        <w:rPr>
          <w:rFonts w:hint="eastAsia"/>
        </w:rPr>
        <w:t xml:space="preserve">常减压－催化裂化装置区界区管廊对循环水回水管线手阀需要更换，现需要按照计划对手阀进行更换，管线内循环水已排空。作业点下方已搭设了一脚手架作为作业平台，该平台高4.8米。按照特殊作业检修工作流程进行高处作业许可证办理、作业安全防护、工具与材料准备，开展手阀更换工作。</w:t>
      </w:r>
      <w:r/>
    </w:p>
    <w:p>
      <w:pPr>
        <w:ind w:firstLine="400"/>
        <w:spacing w:line="360" w:lineRule="auto"/>
        <w:rPr>
          <w:lang w:eastAsia="zh-Hans"/>
        </w:rPr>
      </w:pPr>
      <w:r>
        <w:rPr>
          <w:rFonts w:hint="eastAsia"/>
        </w:rPr>
        <w:t xml:space="preserve">（2）高处</w:t>
      </w:r>
      <w:r>
        <w:rPr>
          <w:rFonts w:hint="eastAsia"/>
          <w:lang w:eastAsia="zh-Hans"/>
        </w:rPr>
        <w:t xml:space="preserve">作业流程</w:t>
      </w:r>
      <w:r/>
    </w:p>
    <w:p>
      <w:pPr>
        <w:ind w:firstLine="400"/>
        <w:spacing w:line="360" w:lineRule="auto"/>
      </w:pPr>
      <w:r>
        <w:rPr>
          <w:rFonts w:hint="eastAsia"/>
        </w:rPr>
        <w:t xml:space="preserve">高处作业过程至少包含四个阶段。第一阶段：工作申请及JSA风险评估；第二阶段：安全措施检查与审批；第三阶段：工作过程监督；第四阶段：完工验收。</w:t>
      </w:r>
      <w:r/>
    </w:p>
    <w:p>
      <w:pPr>
        <w:ind w:firstLine="400"/>
        <w:spacing w:line="360" w:lineRule="auto"/>
      </w:pPr>
      <w:r>
        <w:rPr>
          <w:rFonts w:hint="eastAsia"/>
        </w:rPr>
        <w:t xml:space="preserve">工作申请及JSA风险评估，主要目的是通过作业申请流程，确保高处作业得到必要的审批和许可，同时利用JSA风险评估方法，全面识别和分析作业过程中可能存在的安全风险，制定相应的风险控制和预防措施，以保障作业人员的安全，防止事故发生。</w:t>
      </w:r>
      <w:r/>
    </w:p>
    <w:p>
      <w:pPr>
        <w:ind w:firstLine="400"/>
        <w:spacing w:line="360" w:lineRule="auto"/>
      </w:pPr>
      <w:r>
        <w:rPr>
          <w:rFonts w:hint="eastAsia"/>
        </w:rPr>
        <w:t xml:space="preserve">在“作业申请及JSA风险评估”模块中，要求开发包含但不限于作业票申请过程、JSA风险评估过程、劳保用品穿戴过程等主要交互操作。</w:t>
      </w:r>
      <w:r/>
    </w:p>
    <w:p>
      <w:pPr>
        <w:ind w:firstLine="400"/>
        <w:spacing w:line="360" w:lineRule="auto"/>
      </w:pPr>
      <w:r>
        <w:rPr>
          <w:rFonts w:hint="eastAsia"/>
        </w:rPr>
        <w:t xml:space="preserve">安全措施检查与审批，主要目的是通过安全措施检查及审批流程，确保高处作业所需的安全措施得到全面的审查和批准。这一环节要求详细列出所有必要的安全措施，包括但不限于防护设备、应急设备等，并由对应的人员对措施的有效性和可行性进行审查确认。审查通过后，方可进入下一步作业实施阶段，从而确保作业过程的安全性和可控性。</w:t>
      </w:r>
      <w:r/>
    </w:p>
    <w:p>
      <w:pPr>
        <w:ind w:firstLine="400"/>
        <w:spacing w:line="360" w:lineRule="auto"/>
      </w:pPr>
      <w:r>
        <w:rPr>
          <w:rFonts w:hint="eastAsia"/>
        </w:rPr>
        <w:t xml:space="preserve">在“安全措施检查查及审批”模块中，要求开发包含但不限于作业票安全措施编制、作业票安全措施确认、现场设备工器具检查、现场安全措施落实、安全交底等主要交互操作。</w:t>
      </w:r>
      <w:r/>
    </w:p>
    <w:p>
      <w:pPr>
        <w:ind w:firstLine="400"/>
        <w:spacing w:line="360" w:lineRule="auto"/>
      </w:pPr>
      <w:r>
        <w:rPr>
          <w:rFonts w:hint="eastAsia"/>
        </w:rPr>
        <w:t xml:space="preserve">工作过程监督，主要目的是通过工作及过程监督，实现对高处作业全过程的有效监控和管理。确保作业过程严格按照既定的安全措施和操作规程进行，及时发现并纠正作业中的违规行为或安全隐患。通过实时记录作业过程中的关键信息和数据，为后续的安全评估和改进提供依据，进一步提升高处作业的安全性和效率。</w:t>
      </w:r>
      <w:r/>
    </w:p>
    <w:p>
      <w:pPr>
        <w:ind w:firstLine="400"/>
        <w:spacing w:line="360" w:lineRule="auto"/>
      </w:pPr>
      <w:r>
        <w:rPr>
          <w:rFonts w:hint="eastAsia"/>
        </w:rPr>
        <w:t xml:space="preserve">在“工作及过程监督”模块中，要求开发包含但不限于票证公示、作业前信息登记、检修过程、作业过程中安全检查实施、应急处置流程等主要交互操作。</w:t>
      </w:r>
      <w:r/>
    </w:p>
    <w:p>
      <w:pPr>
        <w:ind w:firstLine="400"/>
        <w:spacing w:line="360" w:lineRule="auto"/>
      </w:pPr>
      <w:r>
        <w:rPr>
          <w:rFonts w:hint="eastAsia"/>
        </w:rPr>
        <w:t xml:space="preserve">完工验收，主要目的是确保高处作业项目按照既定的安全标准和操作规程顺利完成，对作业质量、安全措施落实情况及作业效果进行全面检查和评估。通过完工验收，及时发现并纠正可能存在的安全隐患或不足之处，确保高处作业项目的安全性和可靠性，为后续的安全生产提供有力保障。</w:t>
      </w:r>
      <w:r/>
    </w:p>
    <w:p>
      <w:pPr>
        <w:ind w:firstLine="400"/>
        <w:spacing w:line="360" w:lineRule="auto"/>
      </w:pPr>
      <w:r>
        <w:rPr>
          <w:rFonts w:hint="eastAsia"/>
        </w:rPr>
        <w:t xml:space="preserve">在“完工验收”模块中，要求开发包含但不限于包含现场清理、填写高处作业登记表、作业票验收、验收交付等主要交互操作。</w:t>
      </w:r>
      <w:r/>
    </w:p>
    <w:p>
      <w:pPr>
        <w:ind w:firstLine="400"/>
        <w:spacing w:line="360" w:lineRule="auto"/>
      </w:pPr>
      <w:r>
        <w:rPr>
          <w:rFonts w:hint="eastAsia"/>
        </w:rPr>
        <w:t xml:space="preserve">10.4、软件功能要求</w:t>
      </w:r>
      <w:r/>
    </w:p>
    <w:p>
      <w:pPr>
        <w:ind w:firstLine="400"/>
        <w:spacing w:line="360" w:lineRule="auto"/>
      </w:pPr>
      <w:r>
        <w:rPr>
          <w:rFonts w:hint="eastAsia"/>
        </w:rPr>
        <w:t xml:space="preserve">（1）切换角色</w:t>
      </w:r>
      <w:r/>
    </w:p>
    <w:p>
      <w:pPr>
        <w:ind w:firstLine="400"/>
        <w:spacing w:line="360" w:lineRule="auto"/>
      </w:pPr>
      <w:r>
        <w:rPr>
          <w:rFonts w:hint="eastAsia"/>
        </w:rPr>
        <w:t xml:space="preserve">要求支持人物角色切换，人物角色至少包含施工负责人、作业人、审批人、监护人。</w:t>
      </w:r>
      <w:r/>
    </w:p>
    <w:p>
      <w:pPr>
        <w:ind w:firstLine="400"/>
        <w:spacing w:line="360" w:lineRule="auto"/>
      </w:pPr>
      <w:r>
        <w:rPr>
          <w:rFonts w:hint="eastAsia"/>
        </w:rPr>
        <w:t xml:space="preserve">（2）查找功能</w:t>
      </w:r>
      <w:r/>
    </w:p>
    <w:p>
      <w:pPr>
        <w:ind w:firstLine="400"/>
        <w:spacing w:line="360" w:lineRule="auto"/>
      </w:pPr>
      <w:r>
        <w:rPr>
          <w:rFonts w:hint="eastAsia"/>
        </w:rPr>
        <w:t xml:space="preserve">输入需要查找的阀门或仪表，显示查找到的阀门或仪表，提供路线指引或直接移动至查找的阀门或仪表，方便查找设备部件或操作。</w:t>
      </w:r>
      <w:r/>
    </w:p>
    <w:p>
      <w:pPr>
        <w:ind w:firstLine="400"/>
        <w:spacing w:line="360" w:lineRule="auto"/>
      </w:pPr>
      <w:r>
        <w:rPr>
          <w:rFonts w:hint="eastAsia"/>
        </w:rPr>
        <w:t xml:space="preserve">（3）装备</w:t>
      </w:r>
      <w:r/>
    </w:p>
    <w:p>
      <w:pPr>
        <w:ind w:firstLine="400"/>
        <w:spacing w:line="360" w:lineRule="auto"/>
      </w:pPr>
      <w:r>
        <w:rPr>
          <w:rFonts w:hint="eastAsia"/>
        </w:rPr>
        <w:t xml:space="preserve">支持对相应人物进行劳保配置。</w:t>
      </w:r>
      <w:r/>
    </w:p>
    <w:p>
      <w:pPr>
        <w:ind w:firstLine="400"/>
        <w:spacing w:line="360" w:lineRule="auto"/>
      </w:pPr>
      <w:r>
        <w:rPr>
          <w:rFonts w:hint="eastAsia"/>
        </w:rPr>
        <w:t xml:space="preserve">（4）设置</w:t>
      </w:r>
      <w:r/>
    </w:p>
    <w:p>
      <w:pPr>
        <w:ind w:firstLine="400"/>
        <w:spacing w:line="360" w:lineRule="auto"/>
      </w:pPr>
      <w:r>
        <w:rPr>
          <w:rFonts w:hint="eastAsia"/>
        </w:rPr>
        <w:t xml:space="preserve">支持对软件分辨率进行选择设置。</w:t>
      </w:r>
      <w:r>
        <w:rPr>
          <w:rFonts w:hint="eastAsia"/>
        </w:rPr>
        <w:tab/>
      </w:r>
      <w:r/>
    </w:p>
    <w:p>
      <w:pPr>
        <w:rPr>
          <w:highlight w:val="yellow"/>
        </w:rPr>
      </w:pPr>
      <w:r>
        <w:rPr>
          <w:highlight w:val="yellow"/>
        </w:rPr>
      </w:r>
      <w:r/>
    </w:p>
    <w:p>
      <w:pPr>
        <w:ind w:firstLine="402"/>
        <w:spacing w:line="360" w:lineRule="auto"/>
        <w:rPr>
          <w:b/>
        </w:rPr>
      </w:pPr>
      <w:r>
        <w:rPr>
          <w:rFonts w:hint="eastAsia"/>
          <w:b/>
        </w:rPr>
        <w:t xml:space="preserve">三、商务要求</w:t>
      </w:r>
      <w:r/>
    </w:p>
    <w:p>
      <w:pPr>
        <w:ind w:firstLine="400"/>
        <w:spacing w:line="360" w:lineRule="auto"/>
      </w:pPr>
      <w:r>
        <w:rPr>
          <w:rFonts w:hint="eastAsia"/>
        </w:rPr>
        <w:t xml:space="preserve">（一）售后服务：</w:t>
      </w:r>
      <w:r/>
    </w:p>
    <w:p>
      <w:pPr>
        <w:ind w:firstLine="400"/>
        <w:spacing w:line="360" w:lineRule="auto"/>
      </w:pPr>
      <w:r>
        <w:rPr>
          <w:rFonts w:hint="eastAsia"/>
        </w:rPr>
        <w:t xml:space="preserve">1.质保期内提供7×24的技术支持和售后响应服务，质保期内发生故障，1小时内电话响应，72小时内现场服务。</w:t>
      </w:r>
      <w:r/>
    </w:p>
    <w:p>
      <w:pPr>
        <w:ind w:firstLine="400"/>
        <w:spacing w:line="360" w:lineRule="auto"/>
      </w:pPr>
      <w:r>
        <w:rPr>
          <w:rFonts w:hint="eastAsia"/>
        </w:rPr>
        <w:t xml:space="preserve">2.在质保期内通过往来邮件、电话、传真，解答在使用中碰到的技术问题。</w:t>
      </w:r>
      <w:r/>
    </w:p>
    <w:p>
      <w:pPr>
        <w:ind w:firstLine="400"/>
        <w:spacing w:line="360" w:lineRule="auto"/>
      </w:pPr>
      <w:r>
        <w:rPr>
          <w:rFonts w:hint="eastAsia"/>
        </w:rPr>
        <w:t xml:space="preserve">3.在质保期内定期访问，了解使用情况并对系统进行免费升级维护。</w:t>
      </w:r>
      <w:r/>
    </w:p>
    <w:p>
      <w:pPr>
        <w:ind w:firstLine="400"/>
        <w:spacing w:line="360" w:lineRule="auto"/>
      </w:pPr>
      <w:r>
        <w:rPr>
          <w:rFonts w:hint="eastAsia"/>
        </w:rPr>
        <w:t xml:space="preserve">（二）质保期限：不少于2年</w:t>
      </w:r>
      <w:r/>
    </w:p>
    <w:p>
      <w:pPr>
        <w:ind w:firstLine="400"/>
        <w:spacing w:line="360" w:lineRule="auto"/>
      </w:pPr>
      <w:r>
        <w:rPr>
          <w:rFonts w:hint="eastAsia"/>
        </w:rPr>
        <w:t xml:space="preserve">（三）培训（如次数、人员、驻场、故障解决等）</w:t>
      </w:r>
      <w:r/>
    </w:p>
    <w:p>
      <w:pPr>
        <w:ind w:firstLine="400"/>
        <w:spacing w:line="360" w:lineRule="auto"/>
      </w:pPr>
      <w:r>
        <w:rPr>
          <w:rFonts w:hint="eastAsia"/>
        </w:rPr>
        <w:t xml:space="preserve">1.要求对使用人员进行培训，培训课时不低于16课时。</w:t>
      </w:r>
      <w:r/>
    </w:p>
    <w:p>
      <w:pPr>
        <w:ind w:firstLine="400"/>
        <w:spacing w:line="360" w:lineRule="auto"/>
      </w:pPr>
      <w:r>
        <w:rPr>
          <w:rFonts w:hint="eastAsia"/>
        </w:rPr>
        <w:t xml:space="preserve">2.有专人提供售后服务，包括售后培训、教学咨询支持、不定期教学研讨和免费培训等。</w:t>
      </w:r>
      <w:r/>
    </w:p>
    <w:p>
      <w:pPr>
        <w:ind w:firstLine="400"/>
        <w:spacing w:line="360" w:lineRule="auto"/>
      </w:pPr>
      <w:r>
        <w:rPr>
          <w:rFonts w:hint="eastAsia"/>
        </w:rPr>
        <w:t xml:space="preserve">（四）部署要求</w:t>
      </w:r>
      <w:r/>
    </w:p>
    <w:p>
      <w:pPr>
        <w:ind w:firstLine="400"/>
        <w:spacing w:line="360" w:lineRule="auto"/>
      </w:pPr>
      <w:r>
        <w:rPr>
          <w:rFonts w:hint="eastAsia"/>
        </w:rPr>
        <w:t xml:space="preserve">所有货物必须部署到学校自有二级平台，满足学生教师通过登录学校平台进行线上学习。涉及对接所产生费用，由中标人承担。</w:t>
      </w:r>
      <w:r/>
    </w:p>
    <w:p>
      <w:pPr>
        <w:spacing w:line="360" w:lineRule="auto"/>
      </w:pPr>
      <w:r/>
      <w:r/>
    </w:p>
    <w:p>
      <w:pPr>
        <w:ind w:firstLine="402"/>
        <w:spacing w:line="360" w:lineRule="auto"/>
        <w:rPr>
          <w:b/>
        </w:rPr>
      </w:pPr>
      <w:r>
        <w:rPr>
          <w:rFonts w:hint="eastAsia"/>
          <w:b/>
        </w:rPr>
        <w:t xml:space="preserve">四、</w:t>
      </w:r>
      <w:r>
        <w:rPr>
          <w:b/>
        </w:rPr>
        <w:t xml:space="preserve">其他要求</w:t>
      </w:r>
      <w:r/>
    </w:p>
    <w:p>
      <w:pPr>
        <w:ind w:firstLine="400"/>
        <w:spacing w:line="360" w:lineRule="auto"/>
      </w:pPr>
      <w:r>
        <w:rPr>
          <w:rFonts w:hint="eastAsia"/>
        </w:rPr>
        <w:t xml:space="preserve">1.项目属性:货物类项目。</w:t>
      </w:r>
      <w:r/>
    </w:p>
    <w:p>
      <w:pPr>
        <w:ind w:firstLine="400"/>
        <w:spacing w:line="360" w:lineRule="auto"/>
      </w:pPr>
      <w:r>
        <w:t xml:space="preserve">2</w:t>
      </w:r>
      <w:r>
        <w:rPr>
          <w:rFonts w:hint="eastAsia"/>
        </w:rPr>
        <w:t xml:space="preserve">．核心产品</w:t>
      </w:r>
      <w:r/>
    </w:p>
    <w:tbl>
      <w:tblPr>
        <w:tblStyle w:val="79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5103"/>
      </w:tblGrid>
      <w:tr>
        <w:trPr/>
        <w:tc>
          <w:tcPr>
            <w:tcW w:w="896" w:type="dxa"/>
            <w:textDirection w:val="lrTb"/>
            <w:noWrap w:val="false"/>
          </w:tcPr>
          <w:p>
            <w:r>
              <w:rPr>
                <w:rFonts w:hint="eastAsia"/>
              </w:rPr>
              <w:t xml:space="preserve">采购</w:t>
            </w:r>
            <w:r/>
          </w:p>
          <w:p>
            <w:r>
              <w:rPr>
                <w:rFonts w:hint="eastAsia"/>
              </w:rPr>
              <w:t xml:space="preserve">包号</w:t>
            </w:r>
            <w:r/>
          </w:p>
        </w:tc>
        <w:tc>
          <w:tcPr>
            <w:tcW w:w="5103" w:type="dxa"/>
            <w:textDirection w:val="lrTb"/>
            <w:noWrap w:val="false"/>
          </w:tcPr>
          <w:p>
            <w:r>
              <w:rPr>
                <w:rFonts w:hint="eastAsia"/>
              </w:rPr>
              <w:t xml:space="preserve">核心产品</w:t>
            </w:r>
            <w:r/>
          </w:p>
        </w:tc>
      </w:tr>
      <w:tr>
        <w:trPr>
          <w:trHeight w:val="473"/>
        </w:trPr>
        <w:tc>
          <w:tcPr>
            <w:tcW w:w="896" w:type="dxa"/>
            <w:textDirection w:val="lrTb"/>
            <w:noWrap w:val="false"/>
          </w:tcPr>
          <w:p>
            <w:r>
              <w:rPr>
                <w:rFonts w:hint="eastAsia"/>
              </w:rPr>
              <w:t xml:space="preserve">1</w:t>
            </w:r>
            <w:r/>
          </w:p>
        </w:tc>
        <w:tc>
          <w:tcPr>
            <w:tcW w:w="5103" w:type="dxa"/>
            <w:vAlign w:val="center"/>
            <w:textDirection w:val="lrTb"/>
            <w:noWrap w:val="false"/>
          </w:tcPr>
          <w:p>
            <w:pPr>
              <w:rPr>
                <w:sz w:val="24"/>
              </w:rPr>
            </w:pPr>
            <w:r>
              <w:rPr>
                <w:rFonts w:hint="eastAsia"/>
                <w:lang w:bidi="ar"/>
              </w:rPr>
              <w:t xml:space="preserve">数智仿真工厂实操3D虚拟仿真系统</w:t>
            </w:r>
            <w:r/>
          </w:p>
        </w:tc>
      </w:tr>
    </w:tbl>
    <w:p>
      <w:pPr>
        <w:pStyle w:val="825"/>
        <w:ind w:firstLine="482"/>
      </w:pPr>
      <w:r/>
      <w:r/>
    </w:p>
    <w:p>
      <w:pPr>
        <w:ind w:firstLine="720"/>
        <w:jc w:val="left"/>
        <w:spacing w:line="240" w:lineRule="auto"/>
        <w:rPr>
          <w:rFonts w:ascii="宋体" w:hAnsi="宋体"/>
          <w:b/>
          <w:bCs/>
          <w:iCs w:val="0"/>
          <w:sz w:val="36"/>
          <w:szCs w:val="24"/>
        </w:rPr>
      </w:pPr>
      <w:r/>
      <w:bookmarkStart w:id="47" w:name="_Toc497133123"/>
      <w:r>
        <w:rPr>
          <w:rFonts w:ascii="宋体" w:hAnsi="宋体"/>
          <w:b/>
          <w:bCs/>
          <w:sz w:val="36"/>
        </w:rPr>
        <w:br w:type="page" w:clear="all"/>
      </w:r>
      <w:r/>
    </w:p>
    <w:p>
      <w:pPr>
        <w:pStyle w:val="1064"/>
        <w:ind w:left="0"/>
        <w:jc w:val="center"/>
        <w:spacing w:after="0" w:line="360" w:lineRule="auto"/>
        <w:rPr>
          <w:rFonts w:ascii="宋体" w:hAnsi="宋体"/>
          <w:sz w:val="36"/>
        </w:rPr>
      </w:pPr>
      <w:r>
        <w:rPr>
          <w:rFonts w:ascii="宋体" w:hAnsi="宋体"/>
          <w:b/>
          <w:bCs/>
          <w:sz w:val="36"/>
        </w:rPr>
        <w:t xml:space="preserve">第五章 评标方法及评标标准</w:t>
      </w:r>
      <w:r/>
    </w:p>
    <w:p>
      <w:pPr>
        <w:pStyle w:val="1153"/>
        <w:ind w:firstLine="422"/>
        <w:jc w:val="both"/>
        <w:spacing w:before="0" w:after="0"/>
        <w:rPr>
          <w:rFonts w:ascii="宋体" w:hAnsi="宋体"/>
          <w:b/>
          <w:sz w:val="21"/>
          <w:szCs w:val="21"/>
        </w:rPr>
      </w:pPr>
      <w:r>
        <w:rPr>
          <w:rFonts w:ascii="宋体" w:hAnsi="宋体"/>
          <w:b/>
          <w:sz w:val="21"/>
          <w:szCs w:val="21"/>
        </w:rPr>
        <w:t xml:space="preserve">一、评标方法</w:t>
      </w:r>
      <w:r/>
    </w:p>
    <w:p>
      <w:pPr>
        <w:pStyle w:val="1153"/>
        <w:ind w:firstLine="420"/>
        <w:jc w:val="both"/>
        <w:spacing w:before="0" w:after="0"/>
        <w:rPr>
          <w:rFonts w:ascii="宋体" w:hAnsi="宋体"/>
          <w:sz w:val="21"/>
          <w:szCs w:val="21"/>
        </w:rPr>
      </w:pPr>
      <w:r>
        <w:rPr>
          <w:rFonts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53"/>
        <w:ind w:firstLine="422"/>
        <w:jc w:val="both"/>
        <w:spacing w:before="0" w:after="0"/>
        <w:rPr>
          <w:rFonts w:ascii="宋体" w:hAnsi="宋体"/>
          <w:b/>
          <w:bCs/>
          <w:sz w:val="21"/>
          <w:szCs w:val="21"/>
        </w:rPr>
      </w:pPr>
      <w:r>
        <w:rPr>
          <w:rFonts w:hint="eastAsia" w:ascii="宋体" w:hAnsi="宋体"/>
          <w:b/>
          <w:bCs/>
          <w:sz w:val="21"/>
          <w:szCs w:val="21"/>
        </w:rPr>
        <w:t xml:space="preserve">二、政府采购政策功能落实</w:t>
      </w:r>
      <w:r/>
    </w:p>
    <w:p>
      <w:pPr>
        <w:pStyle w:val="1153"/>
        <w:ind w:firstLine="420"/>
        <w:spacing w:before="0" w:after="0"/>
        <w:rPr>
          <w:rFonts w:ascii="宋体" w:hAnsi="宋体" w:cs="宋体"/>
          <w:sz w:val="21"/>
          <w:szCs w:val="21"/>
        </w:rPr>
      </w:pPr>
      <w:r>
        <w:rPr>
          <w:rFonts w:hint="eastAsia" w:ascii="宋体" w:hAnsi="宋体" w:cs="宋体"/>
          <w:sz w:val="21"/>
          <w:szCs w:val="21"/>
        </w:rPr>
        <w:t xml:space="preserve">1、小微型企业价格扣除</w:t>
      </w:r>
      <w:r/>
    </w:p>
    <w:p>
      <w:pPr>
        <w:pStyle w:val="1153"/>
        <w:ind w:firstLine="420"/>
        <w:spacing w:before="0" w:after="0"/>
        <w:rPr>
          <w:rFonts w:ascii="宋体" w:hAnsi="宋体" w:cs="宋体"/>
          <w:sz w:val="21"/>
          <w:szCs w:val="21"/>
        </w:rPr>
      </w:pPr>
      <w:r>
        <w:rPr>
          <w:rFonts w:hint="eastAsia" w:ascii="宋体" w:hAnsi="宋体" w:cs="宋体"/>
          <w:sz w:val="21"/>
          <w:szCs w:val="21"/>
        </w:rPr>
        <w:t xml:space="preserve">（1）本项目对小型和微型企业产品给予10%的扣除价格，用扣除后的价格参与评审。</w:t>
      </w:r>
      <w:r/>
    </w:p>
    <w:p>
      <w:pPr>
        <w:pStyle w:val="1153"/>
        <w:ind w:firstLine="420"/>
        <w:spacing w:before="0" w:after="0"/>
        <w:rPr>
          <w:rFonts w:ascii="宋体" w:hAnsi="宋体" w:cs="宋体"/>
          <w:sz w:val="21"/>
          <w:szCs w:val="21"/>
        </w:rPr>
      </w:pPr>
      <w:r>
        <w:rPr>
          <w:rFonts w:hint="eastAsia" w:ascii="宋体" w:hAnsi="宋体" w:cs="宋体"/>
          <w:sz w:val="21"/>
          <w:szCs w:val="21"/>
        </w:rPr>
        <w:t xml:space="preserve">（2）供应商需按照采购文件的要求提供相应的《中小微企业声明函》。</w:t>
      </w:r>
      <w:r/>
    </w:p>
    <w:p>
      <w:pPr>
        <w:pStyle w:val="1153"/>
        <w:ind w:firstLine="420"/>
        <w:spacing w:before="0" w:after="0"/>
        <w:rPr>
          <w:rFonts w:ascii="宋体" w:hAnsi="宋体" w:cs="宋体"/>
          <w:sz w:val="21"/>
          <w:szCs w:val="21"/>
        </w:rPr>
      </w:pPr>
      <w:r>
        <w:rPr>
          <w:rFonts w:hint="eastAsia" w:ascii="宋体" w:hAnsi="宋体" w:cs="宋体"/>
          <w:sz w:val="21"/>
          <w:szCs w:val="21"/>
        </w:rPr>
        <w:t xml:space="preserve">2、残疾人福利单位价格扣除</w:t>
      </w:r>
      <w:r/>
    </w:p>
    <w:p>
      <w:pPr>
        <w:pStyle w:val="1153"/>
        <w:ind w:firstLine="420"/>
        <w:spacing w:before="0" w:after="0"/>
        <w:rPr>
          <w:rFonts w:ascii="宋体" w:hAnsi="宋体" w:cs="宋体"/>
          <w:sz w:val="21"/>
          <w:szCs w:val="21"/>
        </w:rPr>
      </w:pPr>
      <w:r>
        <w:rPr>
          <w:rFonts w:hint="eastAsia" w:ascii="宋体" w:hAnsi="宋体" w:cs="宋体"/>
          <w:sz w:val="21"/>
          <w:szCs w:val="21"/>
        </w:rPr>
        <w:t xml:space="preserve">（1）本项目对残疾人福利性单位视同小型、微型企业，给予10%的价格扣除，用扣除后的价格参与评审。</w:t>
      </w:r>
      <w:r/>
    </w:p>
    <w:p>
      <w:pPr>
        <w:pStyle w:val="1153"/>
        <w:ind w:firstLine="420"/>
        <w:spacing w:before="0" w:after="0"/>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153"/>
        <w:ind w:firstLine="420"/>
        <w:spacing w:before="0" w:after="0"/>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153"/>
        <w:ind w:firstLine="420"/>
        <w:spacing w:before="0" w:after="0"/>
        <w:rPr>
          <w:rFonts w:ascii="宋体" w:hAnsi="宋体" w:cs="宋体"/>
          <w:sz w:val="21"/>
          <w:szCs w:val="21"/>
        </w:rPr>
      </w:pPr>
      <w:r>
        <w:rPr>
          <w:rFonts w:hint="eastAsia" w:ascii="宋体" w:hAnsi="宋体" w:cs="宋体"/>
          <w:sz w:val="21"/>
          <w:szCs w:val="21"/>
        </w:rPr>
        <w:t xml:space="preserve">3、监狱和戒毒企业价格扣除</w:t>
      </w:r>
      <w:r/>
    </w:p>
    <w:p>
      <w:pPr>
        <w:pStyle w:val="1153"/>
        <w:ind w:firstLine="420"/>
        <w:spacing w:before="0" w:after="0"/>
        <w:rPr>
          <w:rFonts w:ascii="宋体" w:hAnsi="宋体" w:cs="宋体"/>
          <w:sz w:val="21"/>
          <w:szCs w:val="21"/>
        </w:rPr>
      </w:pPr>
      <w:r>
        <w:rPr>
          <w:rFonts w:hint="eastAsia" w:ascii="宋体" w:hAnsi="宋体" w:cs="宋体"/>
          <w:sz w:val="21"/>
          <w:szCs w:val="21"/>
        </w:rPr>
        <w:t xml:space="preserve">（1）本项目对监狱和戒毒企业（简称监狱企业）视同小型、微型企业，给予10%的价格扣除，用扣除后的价格参与评审。</w:t>
      </w:r>
      <w:r/>
    </w:p>
    <w:p>
      <w:pPr>
        <w:pStyle w:val="1153"/>
        <w:ind w:firstLine="420"/>
        <w:spacing w:before="0" w:after="0"/>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53"/>
        <w:ind w:firstLine="420"/>
        <w:spacing w:before="0" w:after="0"/>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153"/>
        <w:ind w:firstLine="420"/>
        <w:spacing w:before="0" w:after="0"/>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153"/>
        <w:ind w:firstLine="420"/>
        <w:spacing w:before="0" w:after="0"/>
        <w:rPr>
          <w:rFonts w:ascii="宋体" w:hAnsi="宋体" w:cs="宋体"/>
          <w:sz w:val="21"/>
          <w:szCs w:val="21"/>
        </w:rPr>
      </w:pPr>
      <w:r>
        <w:rPr>
          <w:rFonts w:hint="eastAsia" w:ascii="宋体" w:hAnsi="宋体" w:cs="宋体"/>
          <w:sz w:val="21"/>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153"/>
        <w:ind w:firstLine="420"/>
        <w:spacing w:before="0" w:after="0"/>
        <w:rPr>
          <w:rFonts w:ascii="宋体" w:hAnsi="宋体" w:cs="宋体"/>
          <w:sz w:val="21"/>
          <w:szCs w:val="21"/>
        </w:rPr>
      </w:pPr>
      <w:r>
        <w:rPr>
          <w:rFonts w:hint="eastAsia" w:ascii="宋体" w:hAnsi="宋体" w:cs="宋体"/>
          <w:sz w:val="21"/>
          <w:szCs w:val="21"/>
        </w:rPr>
        <w:t xml:space="preserve">6、联合体各方均为小型、微型企业（残疾人福利单位、监狱企业）的，联合体享受10%价格扣除，用扣除后的价格参与评审。</w:t>
      </w:r>
      <w:r/>
    </w:p>
    <w:p>
      <w:pPr>
        <w:pStyle w:val="1153"/>
        <w:ind w:firstLine="420"/>
        <w:spacing w:before="0" w:after="0"/>
        <w:rPr>
          <w:rFonts w:ascii="宋体" w:hAnsi="宋体" w:cs="宋体"/>
          <w:b/>
          <w:bCs/>
          <w:sz w:val="21"/>
          <w:szCs w:val="21"/>
        </w:rPr>
      </w:pPr>
      <w:r>
        <w:rPr>
          <w:rFonts w:hint="eastAsia" w:ascii="宋体" w:hAnsi="宋体" w:cs="宋体"/>
          <w:b/>
          <w:bCs/>
          <w:sz w:val="21"/>
          <w:szCs w:val="21"/>
        </w:rPr>
        <w:t xml:space="preserve">三、采购本国产品的支持政策</w:t>
      </w:r>
      <w:r/>
    </w:p>
    <w:p>
      <w:pPr>
        <w:pStyle w:val="1153"/>
        <w:ind w:firstLine="420"/>
        <w:spacing w:before="0" w:after="0"/>
        <w:rPr>
          <w:rFonts w:ascii="宋体" w:hAnsi="宋体" w:cs="宋体"/>
          <w:sz w:val="21"/>
          <w:szCs w:val="21"/>
        </w:rPr>
      </w:pPr>
      <w:r>
        <w:rPr>
          <w:rFonts w:hint="eastAsia" w:ascii="宋体" w:hAnsi="宋体" w:cs="宋体"/>
          <w:sz w:val="21"/>
          <w:szCs w:val="21"/>
        </w:rPr>
        <w:t xml:space="preserve">1、 本项目政府采购活动中既有本国产品又有非本国产品参与竞争的，依法对本国产品给予价格评审优惠，对本国产品的报价给予 20%的价格扣除，用扣除后的价格参与评审。</w:t>
      </w:r>
      <w:r/>
    </w:p>
    <w:p>
      <w:pPr>
        <w:pStyle w:val="1153"/>
        <w:ind w:firstLine="420"/>
        <w:spacing w:before="0" w:after="0"/>
        <w:rPr>
          <w:rFonts w:ascii="宋体" w:hAnsi="宋体" w:cs="宋体"/>
          <w:sz w:val="21"/>
          <w:szCs w:val="21"/>
        </w:rPr>
      </w:pPr>
      <w:r>
        <w:rPr>
          <w:rFonts w:hint="eastAsia" w:ascii="宋体" w:hAnsi="宋体" w:cs="宋体"/>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53"/>
        <w:ind w:firstLine="420"/>
        <w:spacing w:before="0" w:after="0"/>
        <w:rPr>
          <w:rFonts w:ascii="宋体" w:hAnsi="宋体" w:cs="宋体"/>
          <w:sz w:val="21"/>
          <w:szCs w:val="21"/>
        </w:rPr>
      </w:pPr>
      <w:r>
        <w:rPr>
          <w:rFonts w:hint="eastAsia" w:ascii="宋体" w:hAnsi="宋体" w:cs="宋体"/>
          <w:sz w:val="21"/>
          <w:szCs w:val="21"/>
        </w:rPr>
        <w:t xml:space="preserve">3、 供应商需按照招标文件的要求提供《关于符合本国产品标准的声明函》（以下简称《声明函》），如不提供将不享受本国产品价格评审优惠。</w:t>
      </w:r>
      <w:r/>
    </w:p>
    <w:p>
      <w:pPr>
        <w:pStyle w:val="1153"/>
        <w:ind w:firstLine="420"/>
        <w:spacing w:before="0" w:after="0"/>
        <w:rPr>
          <w:rFonts w:ascii="宋体" w:hAnsi="宋体" w:cs="宋体"/>
          <w:sz w:val="21"/>
          <w:szCs w:val="21"/>
        </w:rPr>
      </w:pPr>
      <w:r>
        <w:rPr>
          <w:rFonts w:hint="eastAsia" w:ascii="宋体" w:hAnsi="宋体" w:cs="宋体"/>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53"/>
        <w:ind w:firstLine="420"/>
        <w:spacing w:before="0" w:after="0"/>
        <w:rPr>
          <w:rFonts w:ascii="宋体" w:hAnsi="宋体" w:cs="宋体"/>
          <w:sz w:val="21"/>
          <w:szCs w:val="21"/>
        </w:rPr>
      </w:pPr>
      <w:r>
        <w:rPr>
          <w:rFonts w:hint="eastAsia" w:ascii="宋体" w:hAnsi="宋体" w:cs="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53"/>
        <w:ind w:firstLine="422"/>
        <w:spacing w:before="0" w:after="0"/>
        <w:rPr>
          <w:rFonts w:ascii="宋体" w:hAnsi="宋体"/>
          <w:b/>
          <w:sz w:val="21"/>
          <w:szCs w:val="21"/>
        </w:rPr>
      </w:pPr>
      <w:r>
        <w:rPr>
          <w:rFonts w:ascii="宋体" w:hAnsi="宋体"/>
          <w:b/>
          <w:sz w:val="21"/>
          <w:szCs w:val="21"/>
        </w:rPr>
        <w:t xml:space="preserve">三、评标标准</w:t>
      </w:r>
      <w:r/>
    </w:p>
    <w:tbl>
      <w:tblPr>
        <w:tblStyle w:val="799"/>
        <w:tblW w:w="4899" w:type="pct"/>
        <w:tblInd w:w="0" w:type="dxa"/>
        <w:tblLayout w:type="fixed"/>
        <w:tblCellMar>
          <w:left w:w="108" w:type="dxa"/>
          <w:top w:w="0" w:type="dxa"/>
          <w:right w:w="108" w:type="dxa"/>
          <w:bottom w:w="0" w:type="dxa"/>
        </w:tblCellMar>
        <w:tblLook w:val="04A0" w:firstRow="1" w:lastRow="0" w:firstColumn="1" w:lastColumn="0" w:noHBand="0" w:noVBand="1"/>
      </w:tblPr>
      <w:tblGrid>
        <w:gridCol w:w="549"/>
        <w:gridCol w:w="700"/>
        <w:gridCol w:w="743"/>
        <w:gridCol w:w="6358"/>
      </w:tblGrid>
      <w:tr>
        <w:trPr>
          <w:trHeight w:val="27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r>
              <w:rPr>
                <w:rFonts w:hint="eastAsia"/>
                <w:lang w:bidi="ar"/>
              </w:rPr>
              <w:t xml:space="preserve">序号</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r>
              <w:rPr>
                <w:rFonts w:hint="eastAsia"/>
                <w:lang w:bidi="ar"/>
              </w:rPr>
              <w:t xml:space="preserve">评审项目</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r>
              <w:rPr>
                <w:rFonts w:hint="eastAsia"/>
                <w:lang w:bidi="ar"/>
              </w:rPr>
              <w:t xml:space="preserve">分值</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tcPr>
          <w:p>
            <w:r>
              <w:rPr>
                <w:rFonts w:hint="eastAsia"/>
                <w:lang w:bidi="ar"/>
              </w:rPr>
              <w:t xml:space="preserve">评分标准</w:t>
            </w:r>
            <w:r/>
          </w:p>
        </w:tc>
      </w:tr>
      <w:tr>
        <w:trPr>
          <w:trHeight w:val="11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lang w:bidi="ar"/>
              </w:rPr>
            </w:pPr>
            <w:r>
              <w:rPr>
                <w:rFonts w:hint="eastAsia"/>
                <w:lang w:bidi="ar"/>
              </w:rPr>
              <w:t xml:space="preserve">1</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r>
              <w:rPr>
                <w:rFonts w:hint="eastAsia"/>
              </w:rPr>
              <w:t xml:space="preserve">价格部分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r>
              <w:rPr>
                <w:rFonts w:hint="eastAsia"/>
              </w:rPr>
              <w:t xml:space="preserve">30</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r>
              <w:rPr>
                <w:rFonts w:ascii="宋体" w:hAnsi="宋体"/>
                <w:szCs w:val="21"/>
              </w:rPr>
              <w:t xml:space="preserve">本项目采用综合评分法</w:t>
            </w:r>
            <w:r>
              <w:rPr>
                <w:rFonts w:hint="eastAsia"/>
                <w:lang w:bidi="ar"/>
              </w:rPr>
              <w:t xml:space="preserve">，以满足招标文件要求的最低报价为评标基准价，得满分</w:t>
            </w:r>
            <w:r>
              <w:rPr>
                <w:lang w:bidi="ar"/>
              </w:rPr>
              <w:t xml:space="preserve">30</w:t>
            </w:r>
            <w:r>
              <w:rPr>
                <w:rFonts w:hint="eastAsia"/>
                <w:lang w:bidi="ar"/>
              </w:rPr>
              <w:t xml:space="preserve">分，其他投标报价得分</w:t>
            </w:r>
            <w:r>
              <w:rPr>
                <w:lang w:bidi="ar"/>
              </w:rPr>
              <w:t xml:space="preserve">=</w:t>
            </w:r>
            <w:r>
              <w:rPr>
                <w:rFonts w:hint="eastAsia"/>
                <w:lang w:bidi="ar"/>
              </w:rPr>
              <w:t xml:space="preserve">（评标基准价</w:t>
            </w:r>
            <w:r>
              <w:rPr>
                <w:lang w:bidi="ar"/>
              </w:rPr>
              <w:t xml:space="preserve">/</w:t>
            </w:r>
            <w:r>
              <w:rPr>
                <w:rFonts w:hint="eastAsia"/>
                <w:lang w:bidi="ar"/>
              </w:rPr>
              <w:t xml:space="preserve">其他投标报价）×</w:t>
            </w:r>
            <w:r>
              <w:rPr>
                <w:lang w:bidi="ar"/>
              </w:rPr>
              <w:t xml:space="preserve">30</w:t>
            </w:r>
            <w:r>
              <w:rPr>
                <w:rFonts w:hint="eastAsia"/>
                <w:lang w:bidi="ar"/>
              </w:rPr>
              <w:t xml:space="preserve">，保留两位小数。</w:t>
            </w:r>
            <w:r/>
          </w:p>
          <w:p>
            <w:r>
              <w:rPr>
                <w:rFonts w:hint="eastAsia"/>
                <w:lang w:bidi="ar"/>
              </w:rPr>
              <w:t xml:space="preserve">供应商报价不得低于成本价：评标小组认为供应商的报价明显低于其他通过初步审查供应商的报价，有可能影响产品质量或者不能诚信履约的，应当要求其在投标合理的时间内提供书面说明，必要时提交相关证明材料；供应商不能证明其报价合理性的，评标小组应当将其作为无效投标处理。</w:t>
            </w:r>
            <w:r/>
          </w:p>
        </w:tc>
      </w:tr>
      <w:tr>
        <w:trPr>
          <w:trHeight w:val="644"/>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r>
              <w:rPr>
                <w:rFonts w:hint="eastAsia"/>
                <w:lang w:bidi="ar"/>
              </w:rPr>
              <w:t xml:space="preserve">2</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r>
              <w:rPr>
                <w:rFonts w:hint="eastAsia"/>
              </w:rPr>
              <w:t xml:space="preserve">技术部分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r>
              <w:rPr>
                <w:rFonts w:hint="eastAsia"/>
              </w:rPr>
              <w:t xml:space="preserve">30</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r>
              <w:rPr>
                <w:rFonts w:hint="eastAsia"/>
              </w:rPr>
              <w:t xml:space="preserve">根据第四章 项目需求里的技术参数及要求的响应情况进行综合评分：</w:t>
            </w:r>
            <w:r/>
          </w:p>
          <w:p>
            <w:r>
              <w:rPr>
                <w:rFonts w:hint="eastAsia"/>
              </w:rPr>
              <w:t xml:space="preserve">主要技术指标（在技术参数部分带◆号项）共8项，具体参数和分值如下：</w:t>
            </w:r>
            <w:r/>
          </w:p>
          <w:p>
            <w:pPr>
              <w:ind w:firstLine="400"/>
            </w:pPr>
            <w:r>
              <w:t xml:space="preserve">主要技术</w:t>
            </w:r>
            <w:r>
              <w:rPr>
                <w:rFonts w:hint="eastAsia"/>
              </w:rPr>
              <w:t xml:space="preserve">指标</w:t>
            </w:r>
            <w:r>
              <w:t xml:space="preserve">项如下：</w:t>
            </w:r>
            <w:r/>
          </w:p>
          <w:p>
            <w:pPr>
              <w:ind w:firstLine="400"/>
            </w:pPr>
            <w:r>
              <w:rPr>
                <w:rFonts w:hint="eastAsia"/>
              </w:rPr>
              <w:t xml:space="preserve">（1）投标人应具备开发1500万吨/年以上常减压-催化裂化仿真系统的实力。</w:t>
            </w:r>
            <w:r/>
          </w:p>
          <w:p>
            <w:pPr>
              <w:ind w:firstLine="420"/>
              <w:rPr>
                <w:sz w:val="21"/>
                <w:szCs w:val="21"/>
              </w:rPr>
            </w:pPr>
            <w:r>
              <w:rPr>
                <w:rFonts w:hint="eastAsia"/>
                <w:sz w:val="21"/>
                <w:szCs w:val="21"/>
              </w:rPr>
              <w:t xml:space="preserve">①</w:t>
            </w:r>
            <w:r>
              <w:rPr>
                <w:rFonts w:hint="eastAsia"/>
                <w:b/>
                <w:bCs/>
                <w:sz w:val="21"/>
                <w:szCs w:val="21"/>
              </w:rPr>
              <w:t xml:space="preserve">需提供</w:t>
            </w:r>
            <w:r>
              <w:rPr>
                <w:rFonts w:hint="eastAsia"/>
                <w:sz w:val="21"/>
                <w:szCs w:val="21"/>
              </w:rPr>
              <w:t xml:space="preserve">常减压工艺管道流程图和仪表流程图（P&amp;ID）。需提供常减压仿真DCS画面截图（包括常减压总貌图、脱盐换热DCS画面、初馏工段DCS画面、常压炉DCS画面、常压塔工段DCS画面、减压炉DCS画面、减压塔工段DCS画面）。</w:t>
            </w:r>
            <w:r/>
          </w:p>
          <w:p>
            <w:pPr>
              <w:ind w:firstLine="420"/>
              <w:rPr>
                <w:sz w:val="18"/>
              </w:rPr>
            </w:pPr>
            <w:r>
              <w:rPr>
                <w:rFonts w:hint="eastAsia"/>
                <w:sz w:val="21"/>
                <w:szCs w:val="21"/>
              </w:rPr>
              <w:t xml:space="preserve">②</w:t>
            </w:r>
            <w:r>
              <w:rPr>
                <w:rFonts w:hint="eastAsia"/>
                <w:b/>
                <w:bCs/>
                <w:sz w:val="21"/>
                <w:szCs w:val="21"/>
              </w:rPr>
              <w:t xml:space="preserve">需提供</w:t>
            </w:r>
            <w:r>
              <w:rPr>
                <w:rFonts w:hint="eastAsia"/>
                <w:sz w:val="21"/>
                <w:szCs w:val="21"/>
              </w:rPr>
              <w:t xml:space="preserve">常减压仿真现场画面截图（包括脱盐换热现场画面、初馏工段现场画面、常压炉现场画面、常压塔工段现场画面、减压炉现场画面、减压塔工段现场画面）。</w:t>
            </w:r>
            <w:r/>
          </w:p>
          <w:p>
            <w:pPr>
              <w:ind w:firstLine="400"/>
            </w:pPr>
            <w:r>
              <w:rPr>
                <w:rFonts w:hint="eastAsia"/>
                <w:sz w:val="21"/>
                <w:szCs w:val="21"/>
              </w:rPr>
              <w:t xml:space="preserve">③</w:t>
            </w:r>
            <w:r>
              <w:rPr>
                <w:rFonts w:hint="eastAsia"/>
                <w:b/>
                <w:bCs/>
              </w:rPr>
              <w:t xml:space="preserve">需提供</w:t>
            </w:r>
            <w:r>
              <w:rPr>
                <w:rFonts w:hint="eastAsia"/>
              </w:rPr>
              <w:t xml:space="preserve">常减压辅操台界面截图。</w:t>
            </w:r>
            <w:r/>
          </w:p>
          <w:p>
            <w:pPr>
              <w:ind w:firstLine="400"/>
            </w:pPr>
            <w:r>
              <w:rPr>
                <w:rFonts w:hint="eastAsia"/>
                <w:sz w:val="21"/>
                <w:szCs w:val="21"/>
              </w:rPr>
              <w:t xml:space="preserve">④</w:t>
            </w:r>
            <w:r>
              <w:rPr>
                <w:rFonts w:hint="eastAsia"/>
                <w:b/>
                <w:bCs/>
              </w:rPr>
              <w:t xml:space="preserve">需提供</w:t>
            </w:r>
            <w:r>
              <w:rPr>
                <w:rFonts w:hint="eastAsia"/>
              </w:rPr>
              <w:t xml:space="preserve">常减压联锁画面截图。</w:t>
            </w:r>
            <w:r/>
          </w:p>
          <w:p>
            <w:pPr>
              <w:ind w:firstLine="400"/>
            </w:pPr>
            <w:r>
              <w:rPr>
                <w:rFonts w:hint="eastAsia"/>
                <w:sz w:val="21"/>
                <w:szCs w:val="21"/>
              </w:rPr>
              <w:t xml:space="preserve">⑤</w:t>
            </w:r>
            <w:r>
              <w:rPr>
                <w:rFonts w:hint="eastAsia"/>
                <w:b/>
                <w:bCs/>
              </w:rPr>
              <w:t xml:space="preserve">需提供</w:t>
            </w:r>
            <w:r>
              <w:rPr>
                <w:rFonts w:hint="eastAsia"/>
              </w:rPr>
              <w:t xml:space="preserve">与仿真工厂1:1建设的常减压3D软件中设备三维模型截图，要求包含但不限于初馏塔、常压塔、常一汽提塔、常二汽提塔、常三汽提塔、常四汽提塔、减压塔、常压炉、减压炉、原油罐、水罐、减底渣油罐、常三线油罐、常二线油罐、脱盐罐、初顶回流罐、常顶回流罐、常顶汽油罐、常一线油罐、减顶汽油罐、减顶油水分离罐、常二-原油换热器、常三-原油换热器、减一冷却器、减底渣油-原油换热器、常二中冷却器、减二冷却器、减三冷却器、减底渣油-脱盐后原油换热器、初顶油气冷却器、常顶油气冷却器等。</w:t>
            </w:r>
            <w:r/>
          </w:p>
          <w:p>
            <w:pPr>
              <w:ind w:firstLine="400"/>
            </w:pPr>
            <w:r>
              <w:t xml:space="preserve">本技术指标共</w:t>
            </w:r>
            <w:r>
              <w:rPr>
                <w:rFonts w:hint="eastAsia"/>
              </w:rPr>
              <w:t xml:space="preserve">5小项，技术参数完全满足得5分，每提供一项得1分，不提供不得分。</w:t>
            </w:r>
            <w:r/>
          </w:p>
          <w:p>
            <w:pPr>
              <w:ind w:firstLine="400"/>
              <w:spacing w:before="120"/>
            </w:pPr>
            <w:r>
              <w:rPr>
                <w:rFonts w:hint="eastAsia"/>
              </w:rPr>
              <w:t xml:space="preserve">（2）投标人应具备开发1500万吨/年以上常减压-催化裂化仿真系统的实力。</w:t>
            </w:r>
            <w:r/>
          </w:p>
          <w:p>
            <w:pPr>
              <w:ind w:firstLine="420"/>
              <w:rPr>
                <w:sz w:val="21"/>
                <w:szCs w:val="21"/>
              </w:rPr>
            </w:pPr>
            <w:r>
              <w:rPr>
                <w:rFonts w:hint="eastAsia"/>
                <w:sz w:val="21"/>
                <w:szCs w:val="21"/>
              </w:rPr>
              <w:t xml:space="preserve">①</w:t>
            </w:r>
            <w:r>
              <w:rPr>
                <w:rFonts w:hint="eastAsia"/>
                <w:b/>
                <w:bCs/>
                <w:sz w:val="21"/>
                <w:szCs w:val="21"/>
              </w:rPr>
              <w:t xml:space="preserve">需提供</w:t>
            </w:r>
            <w:r>
              <w:rPr>
                <w:rFonts w:hint="eastAsia"/>
                <w:sz w:val="21"/>
                <w:szCs w:val="21"/>
              </w:rPr>
              <w:t xml:space="preserve">催化裂化工艺管道流程图和仪表流程图（P&amp;ID）。需提供催化裂化仿真DCS画面截图（包括催化裂化总貌图、反应再生DCS画面、分馏工段DCS画面、吸收工段DCS画面、解吸稳定工段DCS画面）。</w:t>
            </w:r>
            <w:r/>
          </w:p>
          <w:p>
            <w:pPr>
              <w:ind w:firstLine="420"/>
              <w:rPr>
                <w:sz w:val="21"/>
                <w:szCs w:val="21"/>
              </w:rPr>
            </w:pPr>
            <w:r>
              <w:rPr>
                <w:rFonts w:hint="eastAsia"/>
                <w:sz w:val="21"/>
                <w:szCs w:val="21"/>
              </w:rPr>
              <w:t xml:space="preserve">②</w:t>
            </w:r>
            <w:r>
              <w:rPr>
                <w:rFonts w:hint="eastAsia"/>
                <w:b/>
                <w:bCs/>
                <w:sz w:val="21"/>
                <w:szCs w:val="21"/>
              </w:rPr>
              <w:t xml:space="preserve">需提供</w:t>
            </w:r>
            <w:r>
              <w:rPr>
                <w:rFonts w:hint="eastAsia"/>
                <w:sz w:val="21"/>
                <w:szCs w:val="21"/>
              </w:rPr>
              <w:t xml:space="preserve">催化裂化现场画面截图（包括反应工段现场画面、再生工段现场画面、分馏前工段现场画面、分馏工段现场画面、吸收工段现场画面、解吸稳定工段现场画面）。</w:t>
            </w:r>
            <w:r/>
          </w:p>
          <w:p>
            <w:pPr>
              <w:ind w:firstLine="420"/>
              <w:rPr>
                <w:sz w:val="21"/>
                <w:szCs w:val="21"/>
              </w:rPr>
            </w:pPr>
            <w:r>
              <w:rPr>
                <w:rFonts w:hint="eastAsia"/>
                <w:sz w:val="21"/>
                <w:szCs w:val="21"/>
              </w:rPr>
              <w:t xml:space="preserve">③</w:t>
            </w:r>
            <w:r>
              <w:rPr>
                <w:rFonts w:hint="eastAsia"/>
                <w:b/>
                <w:bCs/>
                <w:sz w:val="21"/>
                <w:szCs w:val="21"/>
              </w:rPr>
              <w:t xml:space="preserve">需提供</w:t>
            </w:r>
            <w:r>
              <w:rPr>
                <w:rFonts w:hint="eastAsia"/>
                <w:sz w:val="21"/>
                <w:szCs w:val="21"/>
              </w:rPr>
              <w:t xml:space="preserve">催化裂化辅操台界面截图。</w:t>
            </w:r>
            <w:r/>
          </w:p>
          <w:p>
            <w:pPr>
              <w:ind w:firstLine="420"/>
              <w:rPr>
                <w:sz w:val="21"/>
                <w:szCs w:val="21"/>
              </w:rPr>
            </w:pPr>
            <w:r>
              <w:rPr>
                <w:rFonts w:hint="eastAsia"/>
                <w:sz w:val="21"/>
                <w:szCs w:val="21"/>
              </w:rPr>
              <w:t xml:space="preserve">④</w:t>
            </w:r>
            <w:r>
              <w:rPr>
                <w:rFonts w:hint="eastAsia"/>
                <w:b/>
                <w:bCs/>
                <w:sz w:val="21"/>
                <w:szCs w:val="21"/>
              </w:rPr>
              <w:t xml:space="preserve">需提供</w:t>
            </w:r>
            <w:r>
              <w:rPr>
                <w:rFonts w:hint="eastAsia"/>
                <w:sz w:val="21"/>
                <w:szCs w:val="21"/>
              </w:rPr>
              <w:t xml:space="preserve">催化裂化联锁界面截图。</w:t>
            </w:r>
            <w:r/>
          </w:p>
          <w:p>
            <w:pPr>
              <w:ind w:firstLine="420"/>
              <w:rPr>
                <w:sz w:val="21"/>
                <w:szCs w:val="21"/>
              </w:rPr>
            </w:pPr>
            <w:r>
              <w:rPr>
                <w:rFonts w:hint="eastAsia"/>
                <w:sz w:val="21"/>
                <w:szCs w:val="21"/>
              </w:rPr>
              <w:t xml:space="preserve">⑤</w:t>
            </w:r>
            <w:r>
              <w:rPr>
                <w:rFonts w:hint="eastAsia"/>
                <w:b/>
                <w:bCs/>
                <w:sz w:val="21"/>
                <w:szCs w:val="21"/>
              </w:rPr>
              <w:t xml:space="preserve">需提供</w:t>
            </w:r>
            <w:r>
              <w:rPr>
                <w:rFonts w:hint="eastAsia"/>
                <w:sz w:val="21"/>
                <w:szCs w:val="21"/>
              </w:rPr>
              <w:t xml:space="preserve">与仿真工厂1:1建设的催化裂化3D软件中设备三维模型截图，要求包含但不限于分馏塔、轻柴油汽提塔、重柴油汽提塔、吸收塔、再吸收塔、解吸塔、稳定塔、沉降室、再生器、提升管反应器、冷催化剂罐、热催化剂罐、催化裂化新鲜原料缓冲罐、回炼油罐、分顶油气分离罐、重柴油罐、外甩油浆罐、压缩机出口油气分离罐、外取热器、余热锅炉、油浆-裂化原料换热器、分顶冷却器、压缩机后冷器、分顶循冷却器、分中-稳定塔底换热器、分中-解吸塔底换热器、分中冷却器、轻柴-再吸收塔底换热器、油浆冷却器、催化-裂化开工炉等。</w:t>
            </w:r>
            <w:r/>
          </w:p>
          <w:p>
            <w:pPr>
              <w:ind w:firstLine="400"/>
            </w:pPr>
            <w:r>
              <w:t xml:space="preserve">本技术指标共</w:t>
            </w:r>
            <w:r>
              <w:rPr>
                <w:rFonts w:hint="eastAsia"/>
              </w:rPr>
              <w:t xml:space="preserve">5小项，技术参数完全满足得5分，每提供一项得1分，不提供不得分。</w:t>
            </w:r>
            <w:r/>
          </w:p>
          <w:p>
            <w:pPr>
              <w:ind w:firstLine="400"/>
              <w:spacing w:before="120"/>
            </w:pPr>
            <w:r>
              <w:rPr>
                <w:rFonts w:hint="eastAsia"/>
              </w:rPr>
              <w:t xml:space="preserve">（3）要求投标人提供催化裂化装置反应再生工段的工艺参数的影响因素和调节方案，数量不少于7个、分馏工段的工艺参数的影响因素和调节方案，数量不少于7个、稳定工段的工艺参数的影响因素和调节方案，数量不少于6个。</w:t>
            </w:r>
            <w:r/>
          </w:p>
          <w:p>
            <w:pPr>
              <w:ind w:firstLine="400"/>
            </w:pPr>
            <w:r>
              <w:t xml:space="preserve">本</w:t>
            </w:r>
            <w:r>
              <w:rPr>
                <w:rFonts w:hint="eastAsia"/>
              </w:rPr>
              <w:t xml:space="preserve">技术指标参数完全满足得2分，其他不得分。</w:t>
            </w:r>
            <w:r/>
          </w:p>
          <w:p>
            <w:pPr>
              <w:ind w:firstLine="400"/>
              <w:spacing w:before="120"/>
            </w:pPr>
            <w:r>
              <w:rPr>
                <w:rFonts w:hint="eastAsia"/>
              </w:rPr>
              <w:t xml:space="preserve">（4）要求投标人基于常减压-催化裂化工艺，提供本装置产能规模下的月度、季度、年度排产计划方案，方案中应明确阐述排产计划的计算原理、计算方法、计算过程以及详细填报要求等信息，所提供排产计划与工艺软件开车工况相结合，并提供针对本项目的MES系统教学任务教案。</w:t>
            </w:r>
            <w:r/>
          </w:p>
          <w:p>
            <w:pPr>
              <w:ind w:firstLine="400"/>
            </w:pPr>
            <w:r>
              <w:t xml:space="preserve">本</w:t>
            </w:r>
            <w:r>
              <w:rPr>
                <w:rFonts w:hint="eastAsia"/>
              </w:rPr>
              <w:t xml:space="preserve">技术指标参数完全满足得2分，其他不得分。</w:t>
            </w:r>
            <w:r/>
          </w:p>
          <w:p>
            <w:pPr>
              <w:ind w:firstLine="400"/>
              <w:spacing w:before="120"/>
            </w:pPr>
            <w:r>
              <w:rPr>
                <w:rFonts w:hint="eastAsia"/>
              </w:rPr>
              <w:t xml:space="preserve">（5）要求投标人提供工作申请及JSA风险评估阶段软件操作截图，数量不少于3张，包含作业票申请过程的截图、JSA风险评估表及资料说明的内容截图、检修人员劳保用品穿戴选择的截图。</w:t>
            </w:r>
            <w:r/>
          </w:p>
          <w:p>
            <w:pPr>
              <w:ind w:firstLine="400"/>
            </w:pPr>
            <w:r>
              <w:t xml:space="preserve">本</w:t>
            </w:r>
            <w:r>
              <w:rPr>
                <w:rFonts w:hint="eastAsia"/>
              </w:rPr>
              <w:t xml:space="preserve">技术指标参数完全满足得2分，其他不得分。</w:t>
            </w:r>
            <w:r/>
          </w:p>
          <w:p>
            <w:pPr>
              <w:ind w:firstLine="400"/>
              <w:spacing w:before="120"/>
            </w:pPr>
            <w:r>
              <w:rPr>
                <w:rFonts w:hint="eastAsia"/>
              </w:rPr>
              <w:t xml:space="preserve">（6）要求投标人提供安全措施检查与审批阶段软件操作截图，数量不少于4张，包含作业票安全措施编制部分的内容截图、气体检测数据填写及气体检测依据资料的内容截图、现场工器具检查、安全交底的内容截图。</w:t>
            </w:r>
            <w:r/>
          </w:p>
          <w:p>
            <w:pPr>
              <w:ind w:firstLine="400"/>
            </w:pPr>
            <w:r>
              <w:t xml:space="preserve">本</w:t>
            </w:r>
            <w:r>
              <w:rPr>
                <w:rFonts w:hint="eastAsia"/>
              </w:rPr>
              <w:t xml:space="preserve">技术指标参数完全满足得2分，其他不得分。</w:t>
            </w:r>
            <w:r/>
          </w:p>
          <w:p>
            <w:pPr>
              <w:ind w:firstLine="400"/>
              <w:spacing w:before="120"/>
            </w:pPr>
            <w:r>
              <w:rPr>
                <w:rFonts w:hint="eastAsia"/>
              </w:rPr>
              <w:t xml:space="preserve">（7）要求投标人提供工作过程监督阶段软件操作截图，数量不少于4张，包含票证公示的内容截图、进入受限空间信息登记的内容截图、应急处置的内容截图、安全检查实施及有效沟通的内容截图。</w:t>
            </w:r>
            <w:r/>
          </w:p>
          <w:p>
            <w:pPr>
              <w:ind w:firstLine="400"/>
            </w:pPr>
            <w:r>
              <w:t xml:space="preserve">本</w:t>
            </w:r>
            <w:r>
              <w:rPr>
                <w:rFonts w:hint="eastAsia"/>
              </w:rPr>
              <w:t xml:space="preserve">技术指标参数完全满足得2分，其他不得分。</w:t>
            </w:r>
            <w:r/>
          </w:p>
          <w:p>
            <w:pPr>
              <w:ind w:firstLine="400"/>
              <w:spacing w:before="120"/>
            </w:pPr>
            <w:r>
              <w:rPr>
                <w:rFonts w:hint="eastAsia"/>
              </w:rPr>
              <w:t xml:space="preserve">（8）要求投标人提供完工验收阶段软件操作截图，数量不少于3张，包含作业票验收签字部分的内容截图、受限空间登记表（出来登记）的内容截图、完工后现场清理的内容截图。</w:t>
            </w:r>
            <w:r/>
          </w:p>
          <w:p>
            <w:pPr>
              <w:ind w:firstLine="400"/>
            </w:pPr>
            <w:r>
              <w:t xml:space="preserve">本</w:t>
            </w:r>
            <w:r>
              <w:rPr>
                <w:rFonts w:hint="eastAsia"/>
              </w:rPr>
              <w:t xml:space="preserve">技术指标参数完全满足得2分，其他不得分。</w:t>
            </w:r>
            <w:r/>
          </w:p>
          <w:p>
            <w:pPr>
              <w:ind w:firstLine="400"/>
              <w:spacing w:before="120"/>
              <w:rPr>
                <w:lang w:bidi="ar"/>
              </w:rPr>
            </w:pPr>
            <w:r>
              <w:rPr>
                <w:rFonts w:hint="eastAsia"/>
                <w:lang w:bidi="ar"/>
              </w:rPr>
              <w:t xml:space="preserve">未标注带</w:t>
            </w:r>
            <w:r>
              <w:rPr>
                <w:rFonts w:hint="eastAsia"/>
              </w:rPr>
              <w:t xml:space="preserve">◆</w:t>
            </w:r>
            <w:r>
              <w:rPr>
                <w:rFonts w:hint="eastAsia"/>
                <w:lang w:bidi="ar"/>
              </w:rPr>
              <w:t xml:space="preserve">项的技术参数（共8分），有1项负偏离扣0.5分，扣完为止。缺项漏项视为负偏离。</w:t>
            </w:r>
            <w:r/>
          </w:p>
          <w:p>
            <w:pPr>
              <w:ind w:firstLine="360"/>
              <w:spacing w:before="120"/>
              <w:rPr>
                <w:sz w:val="18"/>
                <w:szCs w:val="18"/>
                <w:lang w:bidi="ar"/>
              </w:rPr>
            </w:pPr>
            <w:r>
              <w:rPr>
                <w:rFonts w:hint="eastAsia"/>
                <w:sz w:val="18"/>
                <w:szCs w:val="18"/>
                <w:lang w:bidi="ar"/>
              </w:rPr>
              <w:t xml:space="preserve">注：1.投标人须编制《技术参数偏离表》，对照参数要求逐条列出并对比；</w:t>
            </w:r>
            <w:r/>
          </w:p>
          <w:p>
            <w:pPr>
              <w:ind w:firstLine="360"/>
              <w:rPr>
                <w:sz w:val="18"/>
                <w:szCs w:val="18"/>
                <w:lang w:bidi="ar"/>
              </w:rPr>
            </w:pPr>
            <w:r>
              <w:rPr>
                <w:rFonts w:hint="eastAsia"/>
                <w:sz w:val="18"/>
                <w:szCs w:val="18"/>
                <w:lang w:bidi="ar"/>
              </w:rPr>
              <w:t xml:space="preserve">2.带有</w:t>
            </w:r>
            <w:r>
              <w:rPr>
                <w:rFonts w:hint="eastAsia"/>
                <w:sz w:val="18"/>
                <w:szCs w:val="18"/>
              </w:rPr>
              <w:t xml:space="preserve">◆</w:t>
            </w:r>
            <w:r>
              <w:rPr>
                <w:rFonts w:hint="eastAsia"/>
                <w:sz w:val="18"/>
                <w:szCs w:val="18"/>
                <w:lang w:bidi="ar"/>
              </w:rPr>
              <w:t xml:space="preserve">号的须提供参数中规定的相关证明材料为依据，不满足或未按要求提供证明材料视为负偏离；如未作要求，须提供《技术参数偏离表》为依据，否则视为负偏离；</w:t>
            </w:r>
            <w:r/>
          </w:p>
          <w:p>
            <w:pPr>
              <w:ind w:firstLine="360"/>
              <w:rPr>
                <w:sz w:val="18"/>
                <w:szCs w:val="18"/>
                <w:lang w:bidi="ar"/>
              </w:rPr>
            </w:pPr>
            <w:r>
              <w:rPr>
                <w:rFonts w:hint="eastAsia"/>
                <w:sz w:val="18"/>
                <w:szCs w:val="18"/>
                <w:lang w:bidi="ar"/>
              </w:rPr>
              <w:t xml:space="preserve">3.未有标</w:t>
            </w:r>
            <w:r>
              <w:rPr>
                <w:rFonts w:hint="eastAsia"/>
                <w:sz w:val="18"/>
                <w:szCs w:val="18"/>
              </w:rPr>
              <w:t xml:space="preserve">◆</w:t>
            </w:r>
            <w:r>
              <w:rPr>
                <w:rFonts w:hint="eastAsia"/>
                <w:sz w:val="18"/>
                <w:szCs w:val="18"/>
                <w:lang w:bidi="ar"/>
              </w:rPr>
              <w:t xml:space="preserve">号的，如参数中规定需要提供相关证明材料为依据的，按要求提供；如未作要求，须提供《技术参数偏离表》为依据，否则视为负偏离；</w:t>
            </w:r>
            <w:r/>
          </w:p>
          <w:p>
            <w:pPr>
              <w:ind w:firstLine="360"/>
              <w:rPr>
                <w:sz w:val="18"/>
                <w:szCs w:val="18"/>
                <w:lang w:bidi="ar"/>
              </w:rPr>
            </w:pPr>
            <w:r>
              <w:rPr>
                <w:rFonts w:hint="eastAsia"/>
                <w:sz w:val="18"/>
                <w:szCs w:val="18"/>
                <w:lang w:bidi="ar"/>
              </w:rPr>
              <w:t xml:space="preserve">4.技术参数和相关要求响应情况需如实填写，不得虚假响应，否则视为提供虚假材料谋取中标，追究相关责任；</w:t>
            </w:r>
            <w:r/>
          </w:p>
          <w:p>
            <w:pPr>
              <w:ind w:firstLine="360"/>
              <w:rPr>
                <w:sz w:val="18"/>
                <w:szCs w:val="18"/>
                <w:lang w:bidi="ar"/>
              </w:rPr>
            </w:pPr>
            <w:r>
              <w:rPr>
                <w:rFonts w:hint="eastAsia"/>
                <w:sz w:val="18"/>
                <w:szCs w:val="18"/>
                <w:lang w:bidi="ar"/>
              </w:rPr>
              <w:t xml:space="preserve">5.中标后中标单位如不按照招标文件要求及投标文件承诺来执行，视为提供虚假材料谋取中标，甲方有权终止合同，造成的经济损失由中标单位承担；</w:t>
            </w:r>
            <w:r/>
          </w:p>
          <w:p>
            <w:pPr>
              <w:ind w:firstLine="360"/>
              <w:rPr>
                <w:sz w:val="18"/>
                <w:szCs w:val="18"/>
                <w:lang w:bidi="ar"/>
              </w:rPr>
            </w:pPr>
            <w:r>
              <w:rPr>
                <w:rFonts w:hint="eastAsia"/>
                <w:sz w:val="18"/>
                <w:szCs w:val="18"/>
              </w:rPr>
              <w:t xml:space="preserve">6.要求招标方须向投标人提供常减压-催化裂化的工艺流程图并开放智能石化工厂，支持投标人在工厂现场勘查，并作为投标人方案编制、全景建模开发、验收的依据，确保开发成果与实体工厂的一致性、匹配性。</w:t>
            </w:r>
            <w:r/>
          </w:p>
        </w:tc>
      </w:tr>
      <w:tr>
        <w:trPr>
          <w:trHeight w:val="1368"/>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lang w:bidi="ar"/>
              </w:rPr>
            </w:pPr>
            <w:r>
              <w:rPr>
                <w:rFonts w:hint="eastAsia"/>
                <w:lang w:bidi="ar"/>
              </w:rPr>
              <w:t xml:space="preserve">3</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r>
              <w:rPr>
                <w:rFonts w:hint="eastAsia"/>
              </w:rPr>
              <w:t xml:space="preserve">演示</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r>
              <w:rPr>
                <w:rFonts w:hint="eastAsia"/>
              </w:rPr>
              <w:t xml:space="preserve">技术参数部分带★项参数为演示内容。投标人提供所投真实软件演示视频上传，共演示12项内容。</w:t>
            </w:r>
            <w:r/>
          </w:p>
          <w:p>
            <w:r>
              <w:rPr>
                <w:rFonts w:hint="eastAsia"/>
              </w:rPr>
              <w:t xml:space="preserve">根据采购人要求进行演示，演示内容为技术参数中的带★号，共12条：</w:t>
            </w:r>
            <w:r/>
          </w:p>
          <w:p>
            <w:r>
              <w:rPr>
                <w:rFonts w:hint="eastAsia"/>
              </w:rPr>
              <w:t xml:space="preserve">（1）要求投标人提供全景认知案例的演示视频，时长不少于1分钟。要求不少于6个仿真工厂或实训基地全景认知的案例，要求包含多级目录架构；目录一键跳转定位，点击对应分级目录选项，可直接跳转至厂区整体、中控室、装置区等；手动自主漫游，用户自主选择，可聚焦单设备、单工序开展精细化认知学习。</w:t>
            </w:r>
            <w:r/>
          </w:p>
          <w:p>
            <w:r>
              <w:rPr>
                <w:rFonts w:hint="eastAsia"/>
              </w:rPr>
              <w:t xml:space="preserve">（2）要求投标人提供新建生产计划任务的演示视频，时长不少于1分钟。新建生产任务要求包含但不限于需要选填计划类型（生产计划、检维修计划、采购计划等）、计划编号、计划名称、计划对象、计划数量（吨）、实际数量（吨）、计划对象要求、计划内容、计划开始时间（选填）、计划结束时间（选择）、计划执行人、实际开始时间（选择）、实际结束时间（选择）、计划优先级（选择）、计划创建时间（选择）、计划最近修改时间（选择）等相关信息，支持上传附件等功能。</w:t>
            </w:r>
            <w:r/>
          </w:p>
          <w:p>
            <w:r>
              <w:rPr>
                <w:rFonts w:hint="eastAsia"/>
              </w:rPr>
              <w:t xml:space="preserve">（3）要求投标人提供新建生产调度管理任务的演示视频，时长不少于1分钟。新建生产调度管理任务要求包含但不限于需要填写调度姓名、选填调度类型（生产计划执行、检维修计划执行、异常处理）、关联计划编号、执行内容、计划对象、执行人、预计开始（选择）、预计结束（选择）、实际开始（选择）、实际结束（选择）、选填执行状态（待执行、执行中、已执行）。</w:t>
            </w:r>
            <w:r/>
          </w:p>
          <w:p>
            <w:r>
              <w:rPr>
                <w:rFonts w:hint="eastAsia"/>
              </w:rPr>
              <w:t xml:space="preserve">（4）</w:t>
            </w:r>
            <w:r>
              <w:rPr>
                <w:rFonts w:hint="eastAsia"/>
              </w:rPr>
              <w:t xml:space="preserve">要求投标人提供设备管理模块功能的演示视频，时长不少于1分钟。设备管理模块包含但不限于设备台账、设备检修和维护记录、设备异常报修处置记录。①设备台账展示窗口，至少由3部分组成，按照从上至下的顺序，依次是查询区域、设备详情区域和设备列表区域。支持通过设备列表区域的“新建”按钮，弹出相应的“创建设备台账”页面，通过录入设备位号、设备名称、型号、供应商、设备状态（选择）、工段（选择）、附件（设备图）、设备描述、负责人、投入使用时间（天）等信息。②设备检修及维护记录界面用于储存设备检修维护记录的相关数据，点击“新建”</w:t>
            </w:r>
            <w:r>
              <w:rPr>
                <w:rFonts w:hint="eastAsia"/>
              </w:rPr>
              <w:t xml:space="preserve">按钮，弹出相应的设备检修和维护记录单。支持通过填写设备位号、设备名称（选择关联设备台账）、检查点、检查时间（选择）、检查要求、责任人、检查状态（选择）、附件等信息进行任务单的创建。③设备异常报修处置记录用于储存设备异常后报修及应急处置记录相关数据文件。点击“新建”按钮，弹出相应的创建设备异常报修处置记录单，填写内容包含但不限于设备位号、故障设备名称、工段、故障类型（选择）、故障描述、故障拍摄（图片）、处理状态（选择）、报修人签字、报修人、检修人、创建时间（选择）、检修人签字、检修人、修复时间（选择）等信息。</w:t>
            </w:r>
            <w:r/>
          </w:p>
          <w:p>
            <w:r>
              <w:rPr>
                <w:rFonts w:hint="eastAsia"/>
              </w:rPr>
              <w:t xml:space="preserve">（5）要求投标人提供产品质量管理模块功能的演示视频，时长不少于1分钟。质量检测管理界面用于储存各类原料产品的质量指标，要求包含但不限于检测物名称、检测项目、检测标准、送检时间、检测状态、送检人、检测结果、品质现象描述、工艺指标要求、检测人等信息。点击“新建”按钮，弹出创建质量检测管理单，填写内容包含但不限于测物名称、检测项目、检测标准、送检时间（选择）、检测状态（选择）、送检人、检测结果（选择）、品质现象描述、工艺指标要求、检测人等信息。</w:t>
            </w:r>
            <w:r/>
          </w:p>
          <w:p>
            <w:r>
              <w:rPr>
                <w:rFonts w:hint="eastAsia"/>
              </w:rPr>
              <w:t xml:space="preserve">（6）要求投标人提供物料管理模块功能的演示视频，时长不少于1分钟。物料管理模块包含但不限于原料仓库、原料采购管理、原料用料管理、产品仓库等4项内容。①原料仓库包含但不限于原料名称、原料规格、采购记录、用料记录、入库量、用料量、单位、剩余量等信息。②“物料管理”模块中的“原料采购管理”，点击“新建”按钮，弹出创建原料采购管理页面，填写内</w:t>
            </w:r>
            <w:r>
              <w:rPr>
                <w:rFonts w:hint="eastAsia"/>
              </w:rPr>
              <w:t xml:space="preserve">容包含但不限于采购批次、采购原料、采购数量、采购规格、采购状态、采购时间、责任人、核验员。③原料用料管理用于记录各工段原材料使用情况和数量，保障原料供给正常。包含但不限于用料名称、数量、单位、时间、用料状态、责任人、检验员等。点击“新建”按钮，弹出创建原料用料管理页面，填写内容包含但不限于用料、用料量(吨)、采购用料量(吨)、炼油厂用料结算量(吨)、关联计划编号（选择）、时间（选择）、用料状态（选择）、责任人、检验员。④产品仓库用于记录厂区内产品产出记录，包含产品名称、入库量、规格、生产批次、负责人等信息。</w:t>
            </w:r>
            <w:r/>
          </w:p>
          <w:p>
            <w:r>
              <w:rPr>
                <w:rFonts w:hint="eastAsia"/>
              </w:rPr>
              <w:t xml:space="preserve">（7）要求投标人提供人员信息管理模块功能的演示视频，时长不少于1分钟。人员信息管理模块包含但不限于工号/学号、姓名、性别、年龄、岗位、部门/生产工段等，点击“新建”按钮，弹出创建人员信息管理页面，填写内容包含但不限于工号/学号、系统账号、年龄、工龄(年)、姓名、性别（选择）、入职时间（选择）、岗位、部门/生产工段等。人员信息管理模块支持通过工号/学号或者姓名进行搜索查询。</w:t>
            </w:r>
            <w:r/>
          </w:p>
          <w:p>
            <w:r>
              <w:rPr>
                <w:rFonts w:hint="eastAsia"/>
              </w:rPr>
              <w:t xml:space="preserve">（8）要求投标人提供常减压仿真APC投用实训任务软件操作演示视频，时长不少于1分钟。要求包含APC工程师站对减压塔顶温度、减一积油箱液位、减二回流流量等参数的操作下限和操作上限数据调整以及请求开关状态修改；APC操作员站将减压塔顶温度、减一积油箱液位、减二回流流量等参数的请求开关由OFF改为ON，投用APC，体现OTS软件与APC系统之间数据关联性；操作质量评分系统不少于78步的详细交互步骤以及APC工程师站和APC操作员站操作后，对应的操作步骤的评分变化。</w:t>
            </w:r>
            <w:r/>
          </w:p>
          <w:p>
            <w:r>
              <w:rPr>
                <w:rFonts w:hint="eastAsia"/>
              </w:rPr>
              <w:t xml:space="preserve">（9）要求投标人提供催化裂化仿真APC投用实训任务软件操作演示视频，时长不少于1分钟。要求包含APC工程师站对沉降室密相料位、提升管顶端温度、雾化蒸汽进口流量、再生器顶部压力等参数的操作下限和操作上限数据调整以及请求开关状态修改；APC操作员站将沉降室密相料位、提升管顶端温度、雾化蒸汽进口流量、再生器顶部压力等参数的请求开关由OFF改为ON，投用APC，体现OTS软件与APC系统之间数据关联性；操作质量评分系统不少于70步的详细交互步骤以及APC工程师站和APC操作员站操作后，对应的操作步骤的评分变化。</w:t>
            </w:r>
            <w:r/>
          </w:p>
          <w:p>
            <w:r>
              <w:rPr>
                <w:rFonts w:hint="eastAsia"/>
              </w:rPr>
              <w:t xml:space="preserve">（10）要求投标人提供常减压仿真SIS投用实训任务软件操作演示视频，时长不少于1分钟。要求包含在 DCS 泵联锁界面不少于4个泵进行复位操作，以及不少于7个工艺参数（如初馏塔液位、常压塔液位）低低联锁投自动，体现OTS软件与SIS系统之间数据关联性；操作质量评分系统不少于98步的详细交互步骤以及相关操作后对应的操作步骤的评分变化。</w:t>
            </w:r>
            <w:r/>
          </w:p>
          <w:p>
            <w:r>
              <w:rPr>
                <w:rFonts w:hint="eastAsia"/>
              </w:rPr>
              <w:t xml:space="preserve">（11）要求投标人提供常减压仿真SIS联锁事故处理实训任务软件操作演示视频，时长不少于1分钟。演示SIS联锁事故处理工况操作过程，要求能够完成开车及开车后的SIS系统投用，体现OTS软件与SIS系统之间数据关联性；并演示相关操作后对应的操作步骤的评分变化。</w:t>
            </w:r>
            <w:r/>
          </w:p>
          <w:p>
            <w:r>
              <w:rPr>
                <w:rFonts w:hint="eastAsia"/>
              </w:rPr>
              <w:t xml:space="preserve">（12）要求投标人提供智能巡检系统人工巡检全流程演示视频，时长不少于1分钟。演示内容包括但不限于自定义巡检任务下发、人工巡检作业、AI知识助手交互、巡检结果呈现、巡检结果导出等：</w:t>
            </w:r>
            <w:r/>
          </w:p>
          <w:p>
            <w:pPr>
              <w:ind w:firstLine="400"/>
            </w:pPr>
            <w:r>
              <w:rPr>
                <w:rFonts w:hint="eastAsia"/>
                <w:b/>
                <w:bCs/>
              </w:rPr>
              <w:t xml:space="preserve">演示内容每条1分，符合要求得分，不符合或不演示不得分。</w:t>
            </w:r>
            <w:r/>
          </w:p>
        </w:tc>
      </w:tr>
      <w:tr>
        <w:trPr>
          <w:trHeight w:val="9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lang w:bidi="ar"/>
              </w:rPr>
            </w:pPr>
            <w:r>
              <w:rPr>
                <w:rFonts w:hint="eastAsia"/>
                <w:lang w:bidi="ar"/>
              </w:rPr>
              <w:t xml:space="preserve">4</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r>
              <w:rPr>
                <w:rFonts w:hint="eastAsia"/>
              </w:rPr>
              <w:t xml:space="preserve">综合实力</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rPr>
                <w:lang w:val="zh-CN"/>
              </w:rPr>
            </w:pPr>
            <w:r>
              <w:rPr>
                <w:rFonts w:hint="eastAsia"/>
                <w:lang w:val="zh-CN"/>
              </w:rPr>
              <w:t xml:space="preserve">1、投标人或所投软件货物的</w:t>
            </w:r>
            <w:r>
              <w:rPr>
                <w:rFonts w:hint="eastAsia"/>
              </w:rPr>
              <w:t xml:space="preserve">生产</w:t>
            </w:r>
            <w:r>
              <w:rPr>
                <w:rFonts w:hint="eastAsia"/>
                <w:lang w:val="zh-CN"/>
              </w:rPr>
              <w:t xml:space="preserve">厂商具有有效的质量管理体系认证证书、环境管理体系认证证书。每有</w:t>
            </w:r>
            <w:r>
              <w:rPr>
                <w:rFonts w:hint="eastAsia"/>
              </w:rPr>
              <w:t xml:space="preserve">1</w:t>
            </w:r>
            <w:r>
              <w:rPr>
                <w:rFonts w:hint="eastAsia"/>
                <w:lang w:val="zh-CN"/>
              </w:rPr>
              <w:t xml:space="preserve">个得</w:t>
            </w:r>
            <w:r>
              <w:rPr>
                <w:rFonts w:hint="eastAsia"/>
              </w:rPr>
              <w:t xml:space="preserve">1</w:t>
            </w:r>
            <w:r>
              <w:rPr>
                <w:rFonts w:hint="eastAsia"/>
                <w:lang w:val="zh-CN"/>
              </w:rPr>
              <w:t xml:space="preserve">分，最高得</w:t>
            </w:r>
            <w:r>
              <w:rPr>
                <w:rFonts w:hint="eastAsia"/>
              </w:rPr>
              <w:t xml:space="preserve">2</w:t>
            </w:r>
            <w:r>
              <w:rPr>
                <w:rFonts w:hint="eastAsia"/>
                <w:lang w:val="zh-CN"/>
              </w:rPr>
              <w:t xml:space="preserve">分。（</w:t>
            </w:r>
            <w:r>
              <w:rPr>
                <w:rFonts w:hint="eastAsia"/>
              </w:rPr>
              <w:t xml:space="preserve">注：</w:t>
            </w:r>
            <w:r>
              <w:rPr>
                <w:rFonts w:hint="eastAsia"/>
                <w:lang w:val="zh-CN"/>
              </w:rPr>
              <w:t xml:space="preserve">提供有效的资质证书及在全国认证认可信息公共服务平台查询截图</w:t>
            </w:r>
            <w:r>
              <w:rPr>
                <w:rFonts w:hint="eastAsia"/>
              </w:rPr>
              <w:t xml:space="preserve">扫描上传，不提供不得分）</w:t>
            </w:r>
            <w:r/>
          </w:p>
          <w:p>
            <w:r>
              <w:rPr>
                <w:rFonts w:hint="eastAsia"/>
              </w:rPr>
              <w:t xml:space="preserve">2</w:t>
            </w:r>
            <w:r>
              <w:rPr>
                <w:rFonts w:hint="eastAsia"/>
                <w:lang w:val="zh-CN"/>
              </w:rPr>
              <w:t xml:space="preserve">、投标人或所投软件货物的</w:t>
            </w:r>
            <w:r>
              <w:rPr>
                <w:rFonts w:hint="eastAsia"/>
              </w:rPr>
              <w:t xml:space="preserve">生产</w:t>
            </w:r>
            <w:r>
              <w:rPr>
                <w:rFonts w:hint="eastAsia"/>
                <w:lang w:val="zh-CN"/>
              </w:rPr>
              <w:t xml:space="preserve">厂商承诺在招标文件质量保证期2年得1分，增加1年得1分，最高得2分。</w:t>
            </w:r>
            <w:r>
              <w:rPr>
                <w:rFonts w:hint="eastAsia"/>
              </w:rPr>
              <w:t xml:space="preserve">注：（提供承诺资料加盖供应商公章，不提供不得分）</w:t>
            </w:r>
            <w:r/>
          </w:p>
          <w:p>
            <w:r>
              <w:rPr>
                <w:rFonts w:hint="eastAsia"/>
              </w:rPr>
              <w:t xml:space="preserve">3、投标人或所投软件产品的生产厂商须提供自2025年1月1日起至投标截止之日止，所完成的化工总控工S，化工生产现场技术员，化工安全员职业技能等级评价考核应用的官方证明材料（须加盖</w:t>
            </w:r>
            <w:r>
              <w:rPr>
                <w:rFonts w:hint="eastAsia"/>
              </w:rPr>
              <w:t xml:space="preserve">投</w:t>
            </w:r>
            <w:r>
              <w:rPr>
                <w:rFonts w:hint="eastAsia"/>
              </w:rPr>
              <w:t xml:space="preserve">标</w:t>
            </w:r>
            <w:r>
              <w:rPr>
                <w:rFonts w:hint="eastAsia"/>
              </w:rPr>
              <w:t xml:space="preserve">人</w:t>
            </w:r>
            <w:r>
              <w:rPr>
                <w:rFonts w:hint="eastAsia"/>
              </w:rPr>
              <w:t xml:space="preserve">公章）。每提供1个符合上述要求的有效证明材料，得2分，本项最高得6分。证明材料以签订（或出具）日期为准，须提供原件扫描件并上传，未提供或不符合要求者不得分。</w:t>
            </w:r>
            <w:r/>
          </w:p>
        </w:tc>
      </w:tr>
      <w:tr>
        <w:trPr>
          <w:trHeight w:val="91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r>
              <w:rPr>
                <w:rFonts w:hint="eastAsia"/>
                <w:lang w:bidi="ar"/>
              </w:rPr>
              <w:t xml:space="preserve">5</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r>
              <w:rPr>
                <w:rFonts w:hint="eastAsia"/>
                <w:lang w:bidi="ar"/>
              </w:rPr>
              <w:t xml:space="preserve">企业业绩</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r>
              <w:rPr>
                <w:rFonts w:hint="eastAsia"/>
                <w:lang w:bidi="ar"/>
              </w:rPr>
              <w:t xml:space="preserve">3</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r>
              <w:rPr>
                <w:rFonts w:hint="eastAsia"/>
              </w:rPr>
              <w:t xml:space="preserve">投标人或所投软件货物的厂商</w:t>
            </w:r>
            <w:r>
              <w:rPr>
                <w:rFonts w:hint="eastAsia"/>
                <w:lang w:val="zh-CN"/>
              </w:rPr>
              <w:t xml:space="preserve">202</w:t>
            </w:r>
            <w:r>
              <w:rPr>
                <w:rFonts w:hint="eastAsia"/>
              </w:rPr>
              <w:t xml:space="preserve">3</w:t>
            </w:r>
            <w:r>
              <w:rPr>
                <w:rFonts w:hint="eastAsia"/>
                <w:lang w:val="zh-CN"/>
              </w:rPr>
              <w:t xml:space="preserve">年</w:t>
            </w:r>
            <w:r>
              <w:rPr>
                <w:rFonts w:hint="eastAsia"/>
              </w:rPr>
              <w:t xml:space="preserve">1</w:t>
            </w:r>
            <w:r>
              <w:rPr>
                <w:rFonts w:hint="eastAsia"/>
                <w:lang w:val="zh-CN"/>
              </w:rPr>
              <w:t xml:space="preserve">月1日至今具有类似项目业绩，每提供</w:t>
            </w:r>
            <w:r>
              <w:rPr>
                <w:rFonts w:hint="eastAsia"/>
              </w:rPr>
              <w:t xml:space="preserve">1</w:t>
            </w:r>
            <w:r>
              <w:rPr>
                <w:rFonts w:hint="eastAsia"/>
                <w:lang w:val="zh-CN"/>
              </w:rPr>
              <w:t xml:space="preserve">份得</w:t>
            </w:r>
            <w:r>
              <w:rPr>
                <w:rFonts w:hint="eastAsia"/>
              </w:rPr>
              <w:t xml:space="preserve">1</w:t>
            </w:r>
            <w:r>
              <w:rPr>
                <w:rFonts w:hint="eastAsia"/>
                <w:lang w:val="zh-CN"/>
              </w:rPr>
              <w:t xml:space="preserve">分，满分</w:t>
            </w:r>
            <w:r>
              <w:rPr>
                <w:rFonts w:hint="eastAsia"/>
              </w:rPr>
              <w:t xml:space="preserve">3</w:t>
            </w:r>
            <w:r>
              <w:rPr>
                <w:rFonts w:hint="eastAsia"/>
                <w:lang w:val="zh-CN"/>
              </w:rPr>
              <w:t xml:space="preserve">分。（以合同签订时间为准，提供</w:t>
            </w:r>
            <w:r>
              <w:rPr>
                <w:rFonts w:hint="eastAsia"/>
              </w:rPr>
              <w:t xml:space="preserve">原件扫描上传</w:t>
            </w:r>
            <w:r>
              <w:rPr>
                <w:rFonts w:hint="eastAsia"/>
                <w:lang w:val="zh-CN"/>
              </w:rPr>
              <w:t xml:space="preserve">，不提供不得分）</w:t>
            </w:r>
            <w:r/>
          </w:p>
        </w:tc>
      </w:tr>
      <w:tr>
        <w:trPr>
          <w:trHeight w:val="558"/>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lang w:bidi="ar"/>
              </w:rPr>
            </w:pPr>
            <w:r>
              <w:rPr>
                <w:rFonts w:hint="eastAsia"/>
                <w:lang w:bidi="ar"/>
              </w:rPr>
              <w:t xml:space="preserve">6</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rPr>
                <w:lang w:bidi="ar"/>
              </w:rPr>
            </w:pPr>
            <w:r>
              <w:rPr>
                <w:rFonts w:hint="eastAsia"/>
                <w:lang w:bidi="ar"/>
              </w:rPr>
              <w:t xml:space="preserve">实训方案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lang w:bidi="ar"/>
              </w:rPr>
            </w:pPr>
            <w:r>
              <w:rPr>
                <w:rFonts w:hint="eastAsia"/>
                <w:lang w:bidi="ar"/>
              </w:rPr>
              <w:t xml:space="preserve">6</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rPr>
                <w:lang w:val="zh-CN"/>
              </w:rPr>
            </w:pPr>
            <w:r>
              <w:rPr>
                <w:rFonts w:hint="eastAsia"/>
              </w:rPr>
              <w:t xml:space="preserve">投标人或所投软件货物的生产厂商提供实训方案方案。</w:t>
            </w:r>
            <w:r>
              <w:rPr>
                <w:rFonts w:hint="eastAsia"/>
                <w:lang w:val="zh-CN"/>
              </w:rPr>
              <w:t xml:space="preserve">包含：①生产调度</w:t>
            </w:r>
            <w:r>
              <w:rPr>
                <w:rFonts w:hint="eastAsia"/>
              </w:rPr>
              <w:t xml:space="preserve">实训方案</w:t>
            </w:r>
            <w:r>
              <w:rPr>
                <w:rFonts w:hint="eastAsia"/>
                <w:lang w:val="zh-CN"/>
              </w:rPr>
              <w:t xml:space="preserve">②设备检维修任务实训项目方案③质物料理实训项目方案④质量管理实训项目方案。</w:t>
            </w:r>
            <w:r/>
          </w:p>
          <w:p>
            <w:pPr>
              <w:rPr>
                <w:lang w:val="zh-CN"/>
              </w:rPr>
            </w:pPr>
            <w:r>
              <w:rPr>
                <w:rFonts w:hint="eastAsia"/>
                <w:lang w:val="zh-CN"/>
              </w:rPr>
              <w:t xml:space="preserve">根据供应商提供的实施方案进行评审，实施方案科学、严密、合理，描述详细且具有针对性的得</w:t>
            </w:r>
            <w:r>
              <w:rPr>
                <w:rFonts w:hint="eastAsia"/>
              </w:rPr>
              <w:t xml:space="preserve">6</w:t>
            </w:r>
            <w:r>
              <w:rPr>
                <w:rFonts w:hint="eastAsia"/>
                <w:lang w:val="zh-CN"/>
              </w:rPr>
              <w:t xml:space="preserve">分； </w:t>
            </w:r>
            <w:r/>
          </w:p>
          <w:p>
            <w:pPr>
              <w:rPr>
                <w:lang w:val="zh-CN"/>
              </w:rPr>
            </w:pPr>
            <w:r>
              <w:rPr>
                <w:rFonts w:hint="eastAsia"/>
                <w:lang w:val="zh-CN"/>
              </w:rPr>
              <w:t xml:space="preserve">实施方案基本合理、描述详细程度基本满足招标文件要求的得</w:t>
            </w:r>
            <w:r>
              <w:rPr>
                <w:rFonts w:hint="eastAsia"/>
              </w:rPr>
              <w:t xml:space="preserve">3</w:t>
            </w:r>
            <w:r>
              <w:rPr>
                <w:rFonts w:hint="eastAsia"/>
                <w:lang w:val="zh-CN"/>
              </w:rPr>
              <w:t xml:space="preserve">分；</w:t>
            </w:r>
            <w:r/>
          </w:p>
          <w:p>
            <w:pPr>
              <w:rPr>
                <w:lang w:val="zh-CN"/>
              </w:rPr>
            </w:pPr>
            <w:r>
              <w:rPr>
                <w:rFonts w:hint="eastAsia"/>
                <w:lang w:val="zh-CN"/>
              </w:rPr>
              <w:t xml:space="preserve">实施方案描述有瑕疵、但不影响项目实施的得</w:t>
            </w:r>
            <w:r>
              <w:rPr>
                <w:rFonts w:hint="eastAsia"/>
              </w:rPr>
              <w:t xml:space="preserve">2</w:t>
            </w:r>
            <w:r>
              <w:rPr>
                <w:rFonts w:hint="eastAsia"/>
                <w:lang w:val="zh-CN"/>
              </w:rPr>
              <w:t xml:space="preserve">分；</w:t>
            </w:r>
            <w:r/>
          </w:p>
          <w:p>
            <w:pPr>
              <w:rPr>
                <w:lang w:val="zh-CN"/>
              </w:rPr>
            </w:pPr>
            <w:r>
              <w:rPr>
                <w:rFonts w:hint="eastAsia"/>
                <w:lang w:val="zh-CN"/>
              </w:rPr>
              <w:t xml:space="preserve">具有明显不合理项、描述欠缺、存在实施难度得 1分；</w:t>
            </w:r>
            <w:r/>
          </w:p>
          <w:p>
            <w:r>
              <w:rPr>
                <w:rFonts w:hint="eastAsia"/>
                <w:lang w:val="zh-CN"/>
              </w:rPr>
              <w:t xml:space="preserve">未提供不得分。</w:t>
            </w:r>
            <w:r/>
          </w:p>
        </w:tc>
      </w:tr>
      <w:tr>
        <w:trPr>
          <w:trHeight w:val="110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r>
              <w:rPr>
                <w:rFonts w:hint="eastAsia"/>
                <w:lang w:bidi="ar"/>
              </w:rPr>
              <w:t xml:space="preserve">7</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r>
              <w:rPr>
                <w:rFonts w:hint="eastAsia"/>
                <w:lang w:bidi="ar"/>
              </w:rPr>
              <w:t xml:space="preserve">售后服务</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r>
              <w:rPr>
                <w:rFonts w:hint="eastAsia"/>
                <w:lang w:bidi="ar"/>
              </w:rPr>
              <w:t xml:space="preserve">4</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rPr>
                <w:lang w:val="zh-CN"/>
              </w:rPr>
            </w:pPr>
            <w:r>
              <w:rPr>
                <w:rFonts w:hint="eastAsia"/>
                <w:lang w:val="zh-CN"/>
              </w:rPr>
              <w:t xml:space="preserve">针对该项目须有完善的售后服务体系。包含：①售后服务机构和人员②售后服务内容和流程③售后服务响应时间和质量④售后服务方式和特色。</w:t>
            </w:r>
            <w:r/>
          </w:p>
          <w:p>
            <w:r>
              <w:rPr>
                <w:rFonts w:hint="eastAsia"/>
              </w:rPr>
              <w:t xml:space="preserve">售后服务团队综合实力强，维修经验丰富，售后服务响应时间快速，服务方案完善、有详细的维修时间和处理办法、针对本项目的售后服务方案完整，得4分；</w:t>
            </w:r>
            <w:r/>
          </w:p>
          <w:p>
            <w:r>
              <w:rPr>
                <w:rFonts w:hint="eastAsia"/>
              </w:rPr>
              <w:t xml:space="preserve">售后服务团队综合实力强，维修经验可靠，售后服务响应时间较快，服务方案较完善、服务到位，得2分；</w:t>
            </w:r>
            <w:r/>
          </w:p>
          <w:p>
            <w:r>
              <w:rPr>
                <w:rFonts w:hint="eastAsia"/>
              </w:rPr>
              <w:t xml:space="preserve">方案简单或存在缺陷，仅能勉强满足文件要求，得1分；</w:t>
            </w:r>
            <w:r/>
          </w:p>
          <w:p>
            <w:r>
              <w:rPr>
                <w:rFonts w:hint="eastAsia"/>
              </w:rPr>
              <w:t xml:space="preserve">未提供不得分。</w:t>
            </w:r>
            <w:r/>
          </w:p>
        </w:tc>
      </w:tr>
      <w:tr>
        <w:trPr>
          <w:trHeight w:val="1341"/>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r>
              <w:rPr>
                <w:rFonts w:hint="eastAsia"/>
                <w:lang w:bidi="ar"/>
              </w:rPr>
              <w:t xml:space="preserve">8</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r>
              <w:rPr>
                <w:rFonts w:hint="eastAsia"/>
                <w:lang w:bidi="ar"/>
              </w:rPr>
              <w:t xml:space="preserve">培训方案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r>
              <w:rPr>
                <w:rFonts w:hint="eastAsia"/>
                <w:lang w:bidi="ar"/>
              </w:rPr>
              <w:t xml:space="preserve">5</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rPr>
                <w:lang w:val="zh-CN"/>
              </w:rPr>
            </w:pPr>
            <w:r>
              <w:rPr>
                <w:rFonts w:hint="eastAsia"/>
                <w:lang w:val="zh-CN"/>
              </w:rPr>
              <w:t xml:space="preserve">提供详细的培训方案，包括培训内容、培训人数、课程时间、授课讲师专业程度、培训地点等内容。</w:t>
            </w:r>
            <w:r/>
          </w:p>
          <w:p>
            <w:pPr>
              <w:rPr>
                <w:lang w:val="zh-CN"/>
              </w:rPr>
            </w:pPr>
            <w:r>
              <w:rPr>
                <w:rFonts w:hint="eastAsia"/>
                <w:lang w:val="zh-CN"/>
              </w:rPr>
              <w:t xml:space="preserve">培训方案内容全面，满足本项目培训要求的得</w:t>
            </w:r>
            <w:r>
              <w:rPr>
                <w:rFonts w:hint="eastAsia"/>
              </w:rPr>
              <w:t xml:space="preserve">5</w:t>
            </w:r>
            <w:r>
              <w:rPr>
                <w:rFonts w:hint="eastAsia"/>
                <w:lang w:val="zh-CN"/>
              </w:rPr>
              <w:t xml:space="preserve">分；</w:t>
            </w:r>
            <w:r/>
          </w:p>
          <w:p>
            <w:pPr>
              <w:rPr>
                <w:lang w:val="zh-CN"/>
              </w:rPr>
            </w:pPr>
            <w:r>
              <w:rPr>
                <w:rFonts w:hint="eastAsia"/>
                <w:lang w:val="zh-CN"/>
              </w:rPr>
              <w:t xml:space="preserve">培训方案较全面，基本满足培训要求的得</w:t>
            </w:r>
            <w:r>
              <w:rPr>
                <w:rFonts w:hint="eastAsia"/>
              </w:rPr>
              <w:t xml:space="preserve">3</w:t>
            </w:r>
            <w:r>
              <w:rPr>
                <w:rFonts w:hint="eastAsia"/>
                <w:lang w:val="zh-CN"/>
              </w:rPr>
              <w:t xml:space="preserve">分；</w:t>
            </w:r>
            <w:r/>
          </w:p>
          <w:p>
            <w:pPr>
              <w:rPr>
                <w:lang w:val="zh-CN"/>
              </w:rPr>
            </w:pPr>
            <w:r>
              <w:rPr>
                <w:rFonts w:hint="eastAsia"/>
                <w:lang w:val="zh-CN"/>
              </w:rPr>
              <w:t xml:space="preserve">培训方案存在实施难度的得</w:t>
            </w:r>
            <w:r>
              <w:rPr>
                <w:rFonts w:hint="eastAsia"/>
              </w:rPr>
              <w:t xml:space="preserve">1</w:t>
            </w:r>
            <w:r>
              <w:rPr>
                <w:rFonts w:hint="eastAsia"/>
                <w:lang w:val="zh-CN"/>
              </w:rPr>
              <w:t xml:space="preserve">分；</w:t>
            </w:r>
            <w:r/>
          </w:p>
          <w:p>
            <w:pPr>
              <w:rPr>
                <w:lang w:val="zh-CN"/>
              </w:rPr>
            </w:pPr>
            <w:r>
              <w:rPr>
                <w:rFonts w:hint="eastAsia"/>
                <w:lang w:val="zh-CN"/>
              </w:rPr>
              <w:t xml:space="preserve">未提供的不得分。</w:t>
            </w:r>
            <w:r/>
          </w:p>
        </w:tc>
      </w:tr>
    </w:tbl>
    <w:p>
      <w:pPr>
        <w:pStyle w:val="1153"/>
        <w:ind w:firstLine="422"/>
        <w:spacing w:before="0" w:after="0"/>
        <w:rPr>
          <w:rFonts w:ascii="宋体" w:hAnsi="宋体"/>
          <w:b/>
          <w:sz w:val="21"/>
          <w:szCs w:val="21"/>
        </w:rPr>
      </w:pPr>
      <w:r>
        <w:rPr>
          <w:rFonts w:ascii="宋体" w:hAnsi="宋体"/>
          <w:b/>
          <w:sz w:val="21"/>
          <w:szCs w:val="21"/>
        </w:rPr>
      </w:r>
      <w:r/>
    </w:p>
    <w:p>
      <w:pPr>
        <w:pStyle w:val="1153"/>
        <w:ind w:firstLine="422"/>
        <w:spacing w:before="0" w:after="0"/>
        <w:rPr>
          <w:rFonts w:ascii="宋体" w:hAnsi="宋体"/>
          <w:b/>
          <w:sz w:val="21"/>
          <w:szCs w:val="21"/>
        </w:rPr>
      </w:pPr>
      <w:r>
        <w:rPr>
          <w:rFonts w:ascii="宋体" w:hAnsi="宋体"/>
          <w:b/>
          <w:sz w:val="21"/>
          <w:szCs w:val="21"/>
        </w:rPr>
      </w:r>
      <w:r/>
    </w:p>
    <w:p>
      <w:pPr>
        <w:pStyle w:val="1153"/>
        <w:ind w:firstLine="422"/>
        <w:spacing w:before="0" w:after="0"/>
        <w:rPr>
          <w:rFonts w:ascii="宋体" w:hAnsi="宋体"/>
          <w:b/>
          <w:sz w:val="21"/>
          <w:szCs w:val="21"/>
        </w:rPr>
      </w:pPr>
      <w:r>
        <w:rPr>
          <w:rFonts w:ascii="宋体" w:hAnsi="宋体"/>
          <w:b/>
          <w:sz w:val="21"/>
          <w:szCs w:val="21"/>
        </w:rPr>
      </w:r>
      <w:r/>
    </w:p>
    <w:p>
      <w:pPr>
        <w:pStyle w:val="1153"/>
        <w:ind w:firstLine="422"/>
        <w:spacing w:before="0" w:after="0"/>
        <w:rPr>
          <w:rFonts w:ascii="宋体" w:hAnsi="宋体"/>
          <w:b/>
          <w:sz w:val="21"/>
          <w:szCs w:val="21"/>
        </w:rPr>
      </w:pPr>
      <w:r>
        <w:rPr>
          <w:rFonts w:ascii="宋体" w:hAnsi="宋体"/>
          <w:b/>
          <w:sz w:val="21"/>
          <w:szCs w:val="21"/>
        </w:rPr>
      </w:r>
      <w:r/>
    </w:p>
    <w:p>
      <w:pPr>
        <w:ind w:firstLine="420"/>
        <w:jc w:val="left"/>
        <w:spacing w:line="240" w:lineRule="auto"/>
        <w:rPr>
          <w:rFonts w:ascii="宋体" w:hAnsi="宋体"/>
          <w:b/>
          <w:iCs w:val="0"/>
          <w:sz w:val="21"/>
          <w:szCs w:val="21"/>
        </w:rPr>
      </w:pPr>
      <w:r>
        <w:rPr>
          <w:rFonts w:ascii="宋体" w:hAnsi="宋体"/>
          <w:b/>
          <w:sz w:val="21"/>
          <w:szCs w:val="21"/>
        </w:rPr>
        <w:br w:type="page" w:clear="all"/>
      </w:r>
      <w:r/>
    </w:p>
    <w:p>
      <w:pPr>
        <w:pStyle w:val="1153"/>
        <w:ind w:firstLine="422"/>
        <w:spacing w:before="0" w:after="0"/>
        <w:rPr>
          <w:rFonts w:ascii="宋体" w:hAnsi="宋体"/>
          <w:b/>
          <w:sz w:val="21"/>
          <w:szCs w:val="21"/>
        </w:rPr>
      </w:pPr>
      <w:r>
        <w:rPr>
          <w:rFonts w:ascii="宋体" w:hAnsi="宋体"/>
          <w:b/>
          <w:sz w:val="21"/>
          <w:szCs w:val="21"/>
        </w:rPr>
      </w:r>
      <w:bookmarkEnd w:id="47"/>
      <w:r/>
      <w:r/>
    </w:p>
    <w:p>
      <w:pPr>
        <w:pStyle w:val="1014"/>
        <w:jc w:val="center"/>
        <w:rPr>
          <w:rFonts w:ascii="宋体" w:hAnsi="宋体"/>
          <w:color w:val="000000"/>
        </w:rPr>
      </w:pPr>
      <w:r>
        <w:rPr>
          <w:rFonts w:ascii="宋体" w:hAnsi="宋体"/>
          <w:color w:val="000000"/>
        </w:rPr>
        <w:t xml:space="preserve">第六章 投标文件格式 </w:t>
      </w:r>
      <w:r/>
    </w:p>
    <w:p>
      <w:pPr>
        <w:pStyle w:val="840"/>
        <w:rPr>
          <w:rFonts w:ascii="黑体" w:eastAsia="黑体"/>
          <w:bCs/>
          <w:sz w:val="44"/>
        </w:rPr>
      </w:pPr>
      <w:r>
        <w:rPr>
          <w:rFonts w:ascii="黑体" w:eastAsia="黑体"/>
          <w:bCs/>
          <w:sz w:val="44"/>
        </w:rPr>
      </w:r>
      <w:r/>
    </w:p>
    <w:p>
      <w:pPr>
        <w:pStyle w:val="840"/>
        <w:jc w:val="center"/>
        <w:rPr>
          <w:rFonts w:ascii="宋体" w:hAnsi="宋体"/>
          <w:b/>
          <w:sz w:val="72"/>
        </w:rPr>
      </w:pPr>
      <w:r>
        <w:rPr>
          <w:rFonts w:ascii="宋体" w:hAnsi="宋体"/>
          <w:b/>
          <w:sz w:val="72"/>
        </w:rPr>
        <w:t xml:space="preserve">投  标  文  件</w:t>
      </w:r>
      <w:r/>
    </w:p>
    <w:p>
      <w:pPr>
        <w:pStyle w:val="840"/>
        <w:jc w:val="center"/>
        <w:rPr>
          <w:rFonts w:ascii="宋体" w:hAnsi="宋体"/>
          <w:b/>
          <w:sz w:val="72"/>
        </w:rPr>
      </w:pPr>
      <w:r>
        <w:rPr>
          <w:rFonts w:ascii="宋体" w:hAnsi="宋体"/>
          <w:b/>
          <w:sz w:val="72"/>
        </w:rPr>
      </w:r>
      <w:r/>
    </w:p>
    <w:p>
      <w:pPr>
        <w:pStyle w:val="840"/>
        <w:jc w:val="center"/>
        <w:rPr>
          <w:rFonts w:ascii="宋体" w:hAnsi="宋体"/>
          <w:b/>
          <w:sz w:val="72"/>
        </w:rPr>
      </w:pPr>
      <w:r>
        <w:rPr>
          <w:rFonts w:ascii="宋体" w:hAnsi="宋体"/>
          <w:b/>
          <w:sz w:val="72"/>
        </w:rPr>
      </w:r>
      <w:r/>
    </w:p>
    <w:p>
      <w:pPr>
        <w:pStyle w:val="840"/>
        <w:jc w:val="center"/>
        <w:rPr>
          <w:rFonts w:ascii="宋体" w:hAnsi="宋体"/>
          <w:b/>
          <w:sz w:val="36"/>
        </w:rPr>
      </w:pPr>
      <w:r>
        <w:rPr>
          <w:rFonts w:ascii="宋体" w:hAnsi="宋体"/>
          <w:b/>
          <w:sz w:val="36"/>
        </w:rPr>
      </w:r>
      <w:r/>
    </w:p>
    <w:p>
      <w:pPr>
        <w:pStyle w:val="840"/>
        <w:jc w:val="center"/>
        <w:rPr>
          <w:rFonts w:ascii="宋体" w:hAnsi="宋体"/>
          <w:b/>
          <w:sz w:val="36"/>
        </w:rPr>
      </w:pPr>
      <w:r>
        <w:rPr>
          <w:rFonts w:ascii="宋体" w:hAnsi="宋体"/>
          <w:b/>
          <w:sz w:val="36"/>
        </w:rPr>
      </w:r>
      <w:r/>
    </w:p>
    <w:p>
      <w:pPr>
        <w:pStyle w:val="840"/>
        <w:jc w:val="center"/>
        <w:rPr>
          <w:rFonts w:ascii="宋体" w:hAnsi="宋体"/>
          <w:b/>
          <w:sz w:val="36"/>
        </w:rPr>
      </w:pPr>
      <w:r>
        <w:rPr>
          <w:rFonts w:ascii="宋体" w:hAnsi="宋体"/>
          <w:b/>
          <w:sz w:val="36"/>
        </w:rPr>
      </w:r>
      <w:r/>
    </w:p>
    <w:p>
      <w:pPr>
        <w:pStyle w:val="840"/>
        <w:jc w:val="center"/>
        <w:rPr>
          <w:rFonts w:ascii="宋体" w:hAnsi="宋体"/>
          <w:b/>
          <w:sz w:val="36"/>
        </w:rPr>
      </w:pPr>
      <w:r>
        <w:rPr>
          <w:rFonts w:ascii="宋体" w:hAnsi="宋体"/>
          <w:b/>
          <w:sz w:val="36"/>
        </w:rPr>
      </w:r>
      <w:r/>
    </w:p>
    <w:p>
      <w:pPr>
        <w:pStyle w:val="840"/>
        <w:rPr>
          <w:rFonts w:ascii="宋体" w:hAnsi="宋体"/>
          <w:b/>
          <w:sz w:val="36"/>
        </w:rPr>
      </w:pPr>
      <w:r>
        <w:rPr>
          <w:rFonts w:ascii="宋体" w:hAnsi="宋体"/>
          <w:b/>
          <w:sz w:val="36"/>
        </w:rPr>
      </w:r>
      <w:r/>
    </w:p>
    <w:p>
      <w:pPr>
        <w:pStyle w:val="840"/>
        <w:jc w:val="center"/>
        <w:rPr>
          <w:rFonts w:ascii="宋体" w:hAnsi="宋体"/>
          <w:b/>
          <w:sz w:val="36"/>
        </w:rPr>
      </w:pPr>
      <w:r>
        <w:rPr>
          <w:rFonts w:ascii="宋体" w:hAnsi="宋体"/>
          <w:b/>
          <w:sz w:val="36"/>
        </w:rPr>
      </w:r>
      <w:r/>
    </w:p>
    <w:p>
      <w:pPr>
        <w:pStyle w:val="840"/>
        <w:ind w:firstLine="1084"/>
        <w:rPr>
          <w:rFonts w:ascii="宋体" w:hAnsi="宋体"/>
          <w:b/>
          <w:sz w:val="36"/>
        </w:rPr>
      </w:pPr>
      <w:r>
        <w:rPr>
          <w:rFonts w:ascii="宋体" w:hAnsi="宋体"/>
          <w:b/>
          <w:sz w:val="36"/>
        </w:rPr>
        <w:t xml:space="preserve">项 目 名 称：</w:t>
      </w:r>
      <w:r>
        <w:rPr>
          <w:rFonts w:ascii="宋体" w:hAnsi="宋体"/>
          <w:b/>
          <w:sz w:val="36"/>
          <w:u w:val="single"/>
        </w:rPr>
        <w:t xml:space="preserve">               </w:t>
      </w:r>
      <w:r/>
    </w:p>
    <w:p>
      <w:pPr>
        <w:pStyle w:val="840"/>
        <w:ind w:firstLine="1084"/>
        <w:rPr>
          <w:rFonts w:ascii="宋体" w:hAnsi="宋体"/>
          <w:b/>
          <w:sz w:val="36"/>
          <w:u w:val="single"/>
        </w:rPr>
      </w:pPr>
      <w:r>
        <w:rPr>
          <w:rFonts w:ascii="宋体" w:hAnsi="宋体"/>
          <w:b/>
          <w:sz w:val="36"/>
        </w:rPr>
        <w:t xml:space="preserve">招 标 编 号：</w:t>
      </w:r>
      <w:r>
        <w:rPr>
          <w:rFonts w:ascii="宋体" w:hAnsi="宋体"/>
          <w:b/>
          <w:sz w:val="36"/>
          <w:u w:val="single"/>
        </w:rPr>
        <w:t xml:space="preserve">               </w:t>
      </w:r>
      <w:r/>
    </w:p>
    <w:p>
      <w:pPr>
        <w:pStyle w:val="840"/>
        <w:rPr>
          <w:rFonts w:ascii="宋体" w:hAnsi="宋体"/>
          <w:b/>
          <w:sz w:val="36"/>
          <w:u w:val="single"/>
        </w:rPr>
      </w:pPr>
      <w:r>
        <w:rPr>
          <w:rFonts w:ascii="宋体" w:hAnsi="宋体"/>
          <w:b/>
          <w:sz w:val="36"/>
        </w:rPr>
        <w:t xml:space="preserve">      投标人名称 ：</w:t>
      </w:r>
      <w:r>
        <w:rPr>
          <w:rFonts w:ascii="宋体" w:hAnsi="宋体"/>
          <w:b/>
          <w:sz w:val="36"/>
          <w:u w:val="single"/>
        </w:rPr>
        <w:t xml:space="preserve">               </w:t>
      </w:r>
      <w:r/>
    </w:p>
    <w:p>
      <w:pPr>
        <w:pStyle w:val="840"/>
        <w:rPr>
          <w:rFonts w:ascii="宋体" w:hAnsi="宋体"/>
          <w:b/>
          <w:sz w:val="36"/>
          <w:u w:val="single"/>
        </w:rPr>
      </w:pPr>
      <w:r>
        <w:rPr>
          <w:rFonts w:ascii="宋体" w:hAnsi="宋体"/>
          <w:b/>
          <w:sz w:val="36"/>
        </w:rPr>
        <w:t xml:space="preserve">      日      期 ：</w:t>
      </w:r>
      <w:r>
        <w:rPr>
          <w:rFonts w:ascii="宋体" w:hAnsi="宋体"/>
          <w:b/>
          <w:sz w:val="36"/>
          <w:u w:val="single"/>
        </w:rPr>
        <w:t xml:space="preserve">               </w:t>
      </w:r>
      <w:r/>
    </w:p>
    <w:p>
      <w:pPr>
        <w:pStyle w:val="840"/>
        <w:ind w:firstLine="1084"/>
        <w:rPr>
          <w:rFonts w:ascii="宋体" w:hAnsi="宋体"/>
          <w:b/>
          <w:sz w:val="36"/>
        </w:rPr>
      </w:pPr>
      <w:r>
        <w:rPr>
          <w:rFonts w:ascii="宋体" w:hAnsi="宋体"/>
          <w:b/>
          <w:sz w:val="36"/>
        </w:rPr>
        <w:t xml:space="preserve">投  </w:t>
      </w:r>
      <w:r>
        <w:rPr>
          <w:rFonts w:hint="eastAsia" w:ascii="宋体" w:hAnsi="宋体"/>
          <w:b/>
          <w:sz w:val="36"/>
        </w:rPr>
        <w:t xml:space="preserve"> </w:t>
      </w:r>
      <w:r>
        <w:rPr>
          <w:rFonts w:ascii="宋体" w:hAnsi="宋体"/>
          <w:b/>
          <w:sz w:val="36"/>
        </w:rPr>
        <w:t xml:space="preserve">标  人：</w:t>
      </w:r>
      <w:r>
        <w:rPr>
          <w:rFonts w:ascii="宋体" w:hAnsi="宋体"/>
          <w:b/>
          <w:sz w:val="36"/>
          <w:u w:val="single"/>
        </w:rPr>
        <w:t xml:space="preserve">         </w:t>
      </w:r>
      <w:r>
        <w:rPr>
          <w:rFonts w:ascii="宋体" w:hAnsi="宋体"/>
          <w:b/>
          <w:sz w:val="36"/>
        </w:rPr>
        <w:t xml:space="preserve">（电子签章）</w:t>
      </w:r>
      <w:r/>
    </w:p>
    <w:p>
      <w:pPr>
        <w:pStyle w:val="840"/>
        <w:jc w:val="center"/>
        <w:spacing w:line="440" w:lineRule="exact"/>
        <w:rPr>
          <w:rFonts w:ascii="宋体" w:hAnsi="宋体"/>
          <w:b/>
          <w:bCs/>
          <w:sz w:val="32"/>
          <w:szCs w:val="32"/>
        </w:rPr>
      </w:pPr>
      <w:r>
        <w:rPr>
          <w:rFonts w:ascii="宋体" w:hAnsi="宋体"/>
          <w:b/>
          <w:bCs/>
          <w:sz w:val="32"/>
          <w:szCs w:val="32"/>
        </w:rPr>
      </w:r>
      <w:r/>
    </w:p>
    <w:p>
      <w:pPr>
        <w:pStyle w:val="840"/>
        <w:jc w:val="center"/>
        <w:spacing w:line="440" w:lineRule="exact"/>
        <w:rPr>
          <w:rFonts w:ascii="宋体" w:hAnsi="宋体"/>
          <w:b/>
          <w:bCs/>
          <w:sz w:val="32"/>
          <w:szCs w:val="32"/>
        </w:rPr>
      </w:pPr>
      <w:r>
        <w:rPr>
          <w:rFonts w:ascii="宋体" w:hAnsi="宋体"/>
          <w:b/>
          <w:bCs/>
          <w:sz w:val="32"/>
          <w:szCs w:val="32"/>
        </w:rPr>
      </w:r>
      <w:r/>
    </w:p>
    <w:p>
      <w:pPr>
        <w:pStyle w:val="840"/>
        <w:spacing w:line="440" w:lineRule="exact"/>
        <w:rPr>
          <w:rFonts w:ascii="宋体" w:hAnsi="宋体"/>
          <w:b/>
          <w:bCs/>
          <w:sz w:val="32"/>
          <w:szCs w:val="32"/>
        </w:rPr>
      </w:pPr>
      <w:r>
        <w:rPr>
          <w:rFonts w:ascii="宋体" w:hAnsi="宋体"/>
          <w:b/>
          <w:bCs/>
          <w:sz w:val="32"/>
          <w:szCs w:val="32"/>
        </w:rPr>
      </w:r>
      <w:r/>
    </w:p>
    <w:p>
      <w:pPr>
        <w:pStyle w:val="840"/>
        <w:jc w:val="center"/>
        <w:spacing w:line="440" w:lineRule="exact"/>
        <w:rPr>
          <w:rFonts w:ascii="宋体" w:hAnsi="宋体"/>
          <w:b/>
          <w:bCs/>
          <w:sz w:val="32"/>
          <w:szCs w:val="32"/>
        </w:rPr>
      </w:pPr>
      <w:r>
        <w:rPr>
          <w:rFonts w:ascii="宋体" w:hAnsi="宋体"/>
          <w:b/>
          <w:bCs/>
          <w:sz w:val="32"/>
          <w:szCs w:val="32"/>
        </w:rPr>
        <w:br w:type="page" w:clear="all"/>
      </w:r>
      <w:r>
        <w:rPr>
          <w:rFonts w:ascii="宋体" w:hAnsi="宋体"/>
          <w:b/>
          <w:bCs/>
          <w:sz w:val="32"/>
          <w:szCs w:val="32"/>
        </w:rPr>
        <w:t xml:space="preserve">投标主要文件目录</w:t>
      </w:r>
      <w:r/>
    </w:p>
    <w:p>
      <w:pPr>
        <w:pStyle w:val="840"/>
        <w:jc w:val="center"/>
        <w:spacing w:line="440" w:lineRule="exact"/>
        <w:rPr>
          <w:rFonts w:ascii="宋体" w:hAnsi="宋体"/>
          <w:b/>
          <w:bCs/>
          <w:sz w:val="32"/>
          <w:szCs w:val="32"/>
        </w:rPr>
      </w:pPr>
      <w:r>
        <w:rPr>
          <w:rFonts w:ascii="宋体" w:hAnsi="宋体"/>
          <w:b/>
          <w:bCs/>
          <w:sz w:val="32"/>
          <w:szCs w:val="32"/>
        </w:rPr>
      </w:r>
      <w:r/>
    </w:p>
    <w:p>
      <w:pPr>
        <w:pStyle w:val="840"/>
        <w:ind w:firstLine="480"/>
        <w:spacing w:line="360" w:lineRule="auto"/>
        <w:rPr>
          <w:rFonts w:ascii="宋体" w:hAnsi="宋体"/>
          <w:sz w:val="24"/>
          <w:szCs w:val="24"/>
        </w:rPr>
      </w:pPr>
      <w:r>
        <w:rPr>
          <w:rFonts w:ascii="宋体" w:hAnsi="宋体"/>
          <w:sz w:val="24"/>
          <w:szCs w:val="24"/>
        </w:rPr>
        <w:t xml:space="preserve">一、资格审查响应对照表</w:t>
      </w:r>
      <w:r/>
    </w:p>
    <w:p>
      <w:pPr>
        <w:pStyle w:val="840"/>
        <w:ind w:left="480"/>
        <w:spacing w:line="360" w:lineRule="auto"/>
        <w:rPr>
          <w:rFonts w:ascii="宋体" w:hAnsi="宋体"/>
          <w:sz w:val="24"/>
          <w:szCs w:val="24"/>
        </w:rPr>
      </w:pPr>
      <w:r>
        <w:rPr>
          <w:rFonts w:ascii="宋体" w:hAnsi="宋体"/>
          <w:sz w:val="24"/>
          <w:szCs w:val="24"/>
        </w:rPr>
        <w:t xml:space="preserve">二、符合性审查响应对照表</w:t>
      </w:r>
      <w:r/>
    </w:p>
    <w:p>
      <w:pPr>
        <w:pStyle w:val="840"/>
        <w:ind w:firstLine="480"/>
        <w:spacing w:line="360" w:lineRule="auto"/>
        <w:rPr>
          <w:rFonts w:ascii="宋体" w:hAnsi="宋体"/>
          <w:sz w:val="24"/>
          <w:szCs w:val="24"/>
        </w:rPr>
      </w:pPr>
      <w:r>
        <w:rPr>
          <w:rFonts w:ascii="宋体" w:hAnsi="宋体"/>
          <w:sz w:val="24"/>
          <w:szCs w:val="24"/>
        </w:rPr>
        <w:t xml:space="preserve">三、非实质性响应对照表</w:t>
      </w:r>
      <w:r/>
    </w:p>
    <w:p>
      <w:pPr>
        <w:pStyle w:val="840"/>
        <w:ind w:firstLine="480"/>
        <w:spacing w:line="360" w:lineRule="auto"/>
        <w:rPr>
          <w:rFonts w:ascii="宋体" w:hAnsi="宋体"/>
          <w:sz w:val="24"/>
          <w:szCs w:val="24"/>
        </w:rPr>
      </w:pPr>
      <w:r>
        <w:rPr>
          <w:rFonts w:ascii="宋体" w:hAnsi="宋体"/>
          <w:sz w:val="24"/>
          <w:szCs w:val="24"/>
        </w:rPr>
        <w:t xml:space="preserve">四、开标一览表</w:t>
      </w:r>
      <w:r/>
    </w:p>
    <w:p>
      <w:pPr>
        <w:pStyle w:val="840"/>
        <w:ind w:firstLine="480"/>
        <w:spacing w:line="360" w:lineRule="auto"/>
        <w:rPr>
          <w:rFonts w:ascii="宋体" w:hAnsi="宋体"/>
          <w:sz w:val="24"/>
          <w:szCs w:val="24"/>
        </w:rPr>
      </w:pPr>
      <w:r>
        <w:rPr>
          <w:rFonts w:hint="eastAsia" w:ascii="宋体" w:hAnsi="宋体"/>
          <w:sz w:val="24"/>
          <w:szCs w:val="24"/>
        </w:rPr>
        <w:t xml:space="preserve">五</w:t>
      </w:r>
      <w:r>
        <w:rPr>
          <w:rFonts w:ascii="宋体" w:hAnsi="宋体"/>
          <w:sz w:val="24"/>
          <w:szCs w:val="24"/>
        </w:rPr>
        <w:t xml:space="preserve">、技术参数响应及偏离表</w:t>
      </w:r>
      <w:r/>
    </w:p>
    <w:p>
      <w:pPr>
        <w:pStyle w:val="840"/>
        <w:ind w:firstLine="480"/>
        <w:spacing w:line="360" w:lineRule="auto"/>
        <w:rPr>
          <w:rFonts w:ascii="宋体" w:hAnsi="宋体"/>
          <w:sz w:val="24"/>
          <w:szCs w:val="24"/>
        </w:rPr>
      </w:pPr>
      <w:r>
        <w:rPr>
          <w:rFonts w:hint="eastAsia" w:ascii="宋体" w:hAnsi="宋体"/>
          <w:sz w:val="24"/>
          <w:szCs w:val="24"/>
        </w:rPr>
        <w:t xml:space="preserve">六</w:t>
      </w:r>
      <w:r>
        <w:rPr>
          <w:rFonts w:ascii="宋体" w:hAnsi="宋体"/>
          <w:sz w:val="24"/>
          <w:szCs w:val="24"/>
        </w:rPr>
        <w:t xml:space="preserve">、商务条款响应及偏离表</w:t>
      </w:r>
      <w:r/>
    </w:p>
    <w:p>
      <w:pPr>
        <w:pStyle w:val="840"/>
        <w:ind w:firstLine="480"/>
        <w:spacing w:line="360" w:lineRule="auto"/>
        <w:rPr>
          <w:rFonts w:ascii="宋体" w:hAnsi="宋体"/>
          <w:sz w:val="24"/>
          <w:szCs w:val="24"/>
        </w:rPr>
      </w:pPr>
      <w:r>
        <w:rPr>
          <w:rFonts w:hint="eastAsia" w:ascii="宋体" w:hAnsi="宋体"/>
          <w:sz w:val="24"/>
          <w:szCs w:val="24"/>
        </w:rPr>
        <w:t xml:space="preserve">七、拟投入项目组人员表</w:t>
      </w:r>
      <w:r/>
    </w:p>
    <w:p>
      <w:pPr>
        <w:pStyle w:val="840"/>
        <w:ind w:firstLine="480"/>
        <w:spacing w:line="360" w:lineRule="auto"/>
        <w:rPr>
          <w:rFonts w:ascii="宋体" w:hAnsi="宋体"/>
          <w:sz w:val="24"/>
          <w:szCs w:val="24"/>
        </w:rPr>
      </w:pPr>
      <w:r>
        <w:rPr>
          <w:rFonts w:hint="eastAsia" w:ascii="宋体" w:hAnsi="宋体"/>
          <w:sz w:val="24"/>
          <w:szCs w:val="24"/>
        </w:rPr>
        <w:t xml:space="preserve">八</w:t>
      </w:r>
      <w:r>
        <w:rPr>
          <w:rFonts w:ascii="宋体" w:hAnsi="宋体"/>
          <w:sz w:val="24"/>
          <w:szCs w:val="24"/>
        </w:rPr>
        <w:t xml:space="preserve">、</w:t>
      </w:r>
      <w:r>
        <w:rPr>
          <w:rFonts w:hint="eastAsia" w:ascii="宋体" w:hAnsi="宋体"/>
          <w:sz w:val="24"/>
          <w:szCs w:val="24"/>
        </w:rPr>
        <w:t xml:space="preserve">工作方案</w:t>
      </w:r>
      <w:r/>
    </w:p>
    <w:p>
      <w:pPr>
        <w:pStyle w:val="840"/>
        <w:ind w:firstLine="480"/>
        <w:spacing w:line="360" w:lineRule="auto"/>
        <w:rPr>
          <w:rFonts w:ascii="宋体" w:hAnsi="宋体"/>
          <w:sz w:val="24"/>
          <w:szCs w:val="24"/>
        </w:rPr>
      </w:pPr>
      <w:r>
        <w:rPr>
          <w:rFonts w:ascii="宋体" w:hAnsi="宋体"/>
          <w:sz w:val="24"/>
          <w:szCs w:val="24"/>
        </w:rPr>
      </w:r>
      <w:r/>
    </w:p>
    <w:p>
      <w:pPr>
        <w:pStyle w:val="840"/>
        <w:contextualSpacing/>
        <w:jc w:val="center"/>
        <w:rPr>
          <w:rFonts w:ascii="宋体" w:hAnsi="宋体"/>
          <w:b/>
          <w:color w:val="000000"/>
          <w:sz w:val="72"/>
        </w:rPr>
      </w:pPr>
      <w:r>
        <w:rPr>
          <w:rFonts w:ascii="宋体" w:hAnsi="宋体"/>
          <w:b/>
          <w:color w:val="000000"/>
          <w:sz w:val="72"/>
        </w:rPr>
      </w:r>
      <w:r/>
    </w:p>
    <w:p>
      <w:pPr>
        <w:pStyle w:val="840"/>
        <w:contextualSpacing/>
        <w:jc w:val="center"/>
        <w:spacing w:line="600" w:lineRule="exact"/>
        <w:rPr>
          <w:rFonts w:ascii="宋体" w:hAnsi="宋体"/>
          <w:b/>
          <w:color w:val="000000"/>
          <w:sz w:val="72"/>
        </w:rPr>
      </w:pPr>
      <w:r>
        <w:rPr>
          <w:rFonts w:ascii="宋体" w:hAnsi="宋体"/>
          <w:b/>
          <w:color w:val="000000"/>
          <w:sz w:val="72"/>
        </w:rPr>
      </w:r>
      <w:r/>
    </w:p>
    <w:p>
      <w:pPr>
        <w:pStyle w:val="840"/>
        <w:contextualSpacing/>
        <w:jc w:val="center"/>
        <w:spacing w:line="600" w:lineRule="exact"/>
        <w:rPr>
          <w:rFonts w:ascii="宋体" w:hAnsi="宋体"/>
          <w:b/>
          <w:color w:val="000000"/>
          <w:sz w:val="72"/>
        </w:rPr>
      </w:pPr>
      <w:r>
        <w:rPr>
          <w:rFonts w:ascii="宋体" w:hAnsi="宋体"/>
          <w:b/>
          <w:color w:val="000000"/>
          <w:sz w:val="72"/>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rPr>
          <w:rFonts w:ascii="宋体" w:hAnsi="宋体"/>
          <w:b/>
          <w:sz w:val="32"/>
          <w:szCs w:val="32"/>
        </w:rPr>
      </w:pPr>
      <w:r>
        <w:rPr>
          <w:rFonts w:ascii="宋体" w:hAnsi="宋体"/>
          <w:b/>
          <w:sz w:val="32"/>
          <w:szCs w:val="32"/>
        </w:rPr>
      </w:r>
      <w:r/>
    </w:p>
    <w:p>
      <w:pPr>
        <w:pStyle w:val="839"/>
        <w:numPr>
          <w:ilvl w:val="0"/>
          <w:numId w:val="0"/>
        </w:numPr>
        <w:jc w:val="center"/>
        <w:rPr>
          <w:rFonts w:ascii="宋体" w:hAnsi="宋体"/>
          <w:b w:val="0"/>
          <w:sz w:val="32"/>
          <w:szCs w:val="32"/>
        </w:rPr>
      </w:pPr>
      <w:r>
        <w:rPr>
          <w:rFonts w:ascii="宋体" w:hAnsi="宋体"/>
          <w:sz w:val="32"/>
          <w:szCs w:val="32"/>
        </w:rPr>
        <w:br w:type="page" w:clear="all"/>
      </w:r>
      <w:r>
        <w:rPr>
          <w:rFonts w:ascii="宋体" w:hAnsi="宋体"/>
          <w:bCs w:val="0"/>
          <w:sz w:val="32"/>
          <w:szCs w:val="32"/>
        </w:rPr>
        <w:t xml:space="preserve">一、资格审查响应对照表</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40"/>
              <w:jc w:val="center"/>
              <w:spacing w:line="240" w:lineRule="atLeast"/>
              <w:rPr>
                <w:rFonts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pStyle w:val="840"/>
              <w:jc w:val="center"/>
              <w:spacing w:line="240" w:lineRule="atLeast"/>
              <w:rPr>
                <w:rFonts w:ascii="宋体" w:hAnsi="宋体" w:cs="宋体"/>
                <w:b/>
                <w:szCs w:val="21"/>
              </w:rPr>
            </w:pPr>
            <w:r>
              <w:rPr>
                <w:rFonts w:hint="eastAsia" w:ascii="宋体" w:hAnsi="宋体" w:cs="宋体"/>
                <w:b/>
                <w:szCs w:val="21"/>
              </w:rPr>
              <w:t xml:space="preserve">资格审查响应内容</w:t>
            </w:r>
            <w:r/>
          </w:p>
        </w:tc>
        <w:tc>
          <w:tcPr>
            <w:tcW w:w="2158" w:type="dxa"/>
            <w:vAlign w:val="center"/>
            <w:textDirection w:val="lrTb"/>
            <w:noWrap w:val="false"/>
          </w:tcPr>
          <w:p>
            <w:pPr>
              <w:pStyle w:val="840"/>
              <w:jc w:val="center"/>
              <w:spacing w:line="240" w:lineRule="atLeast"/>
              <w:rPr>
                <w:rFonts w:ascii="宋体" w:hAnsi="宋体" w:cs="宋体"/>
                <w:b/>
                <w:szCs w:val="21"/>
              </w:rPr>
            </w:pPr>
            <w:r>
              <w:rPr>
                <w:rFonts w:hint="eastAsia" w:ascii="宋体" w:hAnsi="宋体" w:cs="宋体"/>
                <w:b/>
                <w:szCs w:val="21"/>
              </w:rPr>
              <w:t xml:space="preserve">是否响应</w:t>
            </w:r>
            <w:r/>
          </w:p>
          <w:p>
            <w:pPr>
              <w:pStyle w:val="840"/>
              <w:jc w:val="center"/>
              <w:spacing w:line="240" w:lineRule="atLeast"/>
              <w:rPr>
                <w:rFonts w:ascii="宋体" w:hAnsi="宋体" w:cs="宋体"/>
                <w:b/>
                <w:szCs w:val="21"/>
              </w:rPr>
            </w:pPr>
            <w:r>
              <w:rPr>
                <w:rFonts w:hint="eastAsia" w:ascii="宋体" w:hAnsi="宋体" w:cs="宋体"/>
                <w:b/>
                <w:szCs w:val="21"/>
              </w:rPr>
              <w:t xml:space="preserve">（填是或者否）</w:t>
            </w:r>
            <w:r/>
          </w:p>
        </w:tc>
      </w:tr>
      <w:tr>
        <w:trPr>
          <w:trHeight w:val="335"/>
        </w:trPr>
        <w:tc>
          <w:tcPr>
            <w:gridSpan w:val="3"/>
            <w:tcW w:w="8251" w:type="dxa"/>
            <w:vAlign w:val="center"/>
            <w:textDirection w:val="lrTb"/>
            <w:noWrap w:val="false"/>
          </w:tcPr>
          <w:p>
            <w:pPr>
              <w:pStyle w:val="840"/>
              <w:jc w:val="left"/>
              <w:spacing w:line="360" w:lineRule="auto"/>
              <w:rPr>
                <w:rFonts w:ascii="宋体" w:hAnsi="宋体" w:cs="宋体"/>
                <w:b/>
                <w:bCs/>
                <w:szCs w:val="21"/>
              </w:rPr>
            </w:pPr>
            <w:r>
              <w:rPr>
                <w:rFonts w:hint="eastAsia" w:ascii="宋体" w:hAnsi="宋体" w:cs="宋体"/>
                <w:b/>
                <w:bCs/>
                <w:szCs w:val="21"/>
              </w:rPr>
              <w:t xml:space="preserve">通用资格条件</w:t>
            </w:r>
            <w:r/>
          </w:p>
        </w:tc>
      </w:tr>
      <w:tr>
        <w:trPr>
          <w:trHeight w:val="761"/>
        </w:trPr>
        <w:tc>
          <w:tcPr>
            <w:tcW w:w="646" w:type="dxa"/>
            <w:vAlign w:val="center"/>
            <w:textDirection w:val="lrTb"/>
            <w:noWrap w:val="false"/>
          </w:tcPr>
          <w:p>
            <w:pPr>
              <w:pStyle w:val="840"/>
              <w:jc w:val="center"/>
              <w:rPr>
                <w:rFonts w:ascii="宋体" w:hAnsi="宋体" w:cs="宋体"/>
                <w:b/>
                <w:szCs w:val="21"/>
              </w:rPr>
            </w:pPr>
            <w:r>
              <w:rPr>
                <w:rFonts w:hint="eastAsia" w:ascii="宋体" w:hAnsi="宋体" w:cs="宋体"/>
                <w:szCs w:val="21"/>
              </w:rPr>
              <w:t xml:space="preserve">1</w:t>
            </w:r>
            <w:r/>
          </w:p>
        </w:tc>
        <w:tc>
          <w:tcPr>
            <w:tcW w:w="5447" w:type="dxa"/>
            <w:vAlign w:val="center"/>
            <w:textDirection w:val="lrTb"/>
            <w:noWrap w:val="false"/>
          </w:tcPr>
          <w:p>
            <w:pPr>
              <w:pStyle w:val="840"/>
              <w:spacing w:line="360" w:lineRule="auto"/>
              <w:rPr>
                <w:rFonts w:ascii="宋体" w:hAnsi="宋体" w:cs="宋体"/>
                <w:iCs/>
                <w:szCs w:val="21"/>
              </w:rPr>
            </w:pPr>
            <w:r>
              <w:rPr>
                <w:rFonts w:hint="eastAsia" w:ascii="宋体" w:hAnsi="宋体" w:cs="宋体"/>
                <w:szCs w:val="21"/>
              </w:rPr>
              <w:t xml:space="preserve">法人或者其他组织的营业执照等证明文件，自然人的身份证明（身份证为正、反面）</w:t>
            </w:r>
            <w:r/>
          </w:p>
        </w:tc>
        <w:tc>
          <w:tcPr>
            <w:tcW w:w="2158" w:type="dxa"/>
            <w:vAlign w:val="center"/>
            <w:textDirection w:val="lrTb"/>
            <w:noWrap w:val="false"/>
          </w:tcPr>
          <w:p>
            <w:pPr>
              <w:pStyle w:val="840"/>
              <w:rPr>
                <w:rFonts w:ascii="宋体" w:hAnsi="宋体" w:cs="宋体"/>
                <w:b/>
                <w:szCs w:val="21"/>
              </w:rPr>
            </w:pPr>
            <w:r>
              <w:rPr>
                <w:rFonts w:ascii="宋体" w:hAnsi="宋体" w:cs="宋体"/>
                <w:b/>
                <w:szCs w:val="21"/>
              </w:rPr>
            </w:r>
            <w:r/>
          </w:p>
        </w:tc>
      </w:tr>
      <w:tr>
        <w:trPr>
          <w:trHeight w:val="585"/>
        </w:trPr>
        <w:tc>
          <w:tcPr>
            <w:tcW w:w="646"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pStyle w:val="840"/>
              <w:spacing w:line="360" w:lineRule="auto"/>
              <w:rPr>
                <w:rFonts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(税务、银行或社会保险基金管理部门出具的近一年内任意一个月缴纳职工社会保障资金的缴款凭证或缴款证明)</w:t>
            </w:r>
            <w:r/>
          </w:p>
        </w:tc>
        <w:tc>
          <w:tcPr>
            <w:tcW w:w="215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585"/>
        </w:trPr>
        <w:tc>
          <w:tcPr>
            <w:tcW w:w="646"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pStyle w:val="840"/>
              <w:spacing w:line="360" w:lineRule="auto"/>
              <w:rPr>
                <w:rFonts w:ascii="宋体" w:hAnsi="宋体" w:cs="宋体"/>
                <w:iCs/>
                <w:szCs w:val="21"/>
              </w:rPr>
            </w:pPr>
            <w:r>
              <w:rPr>
                <w:rFonts w:hint="eastAsia" w:ascii="宋体" w:hAnsi="宋体" w:cs="宋体"/>
                <w:szCs w:val="21"/>
              </w:rPr>
              <w:t xml:space="preserve">投标人近一年内任意一月依法纳税的缴款凭证</w:t>
            </w:r>
            <w:r/>
          </w:p>
        </w:tc>
        <w:tc>
          <w:tcPr>
            <w:tcW w:w="215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417"/>
        </w:trPr>
        <w:tc>
          <w:tcPr>
            <w:tcW w:w="646"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4</w:t>
            </w:r>
            <w:r/>
          </w:p>
        </w:tc>
        <w:tc>
          <w:tcPr>
            <w:tcW w:w="5447" w:type="dxa"/>
            <w:vAlign w:val="center"/>
            <w:textDirection w:val="lrTb"/>
            <w:noWrap w:val="false"/>
          </w:tcPr>
          <w:p>
            <w:pPr>
              <w:pStyle w:val="840"/>
              <w:spacing w:line="360" w:lineRule="auto"/>
              <w:rPr>
                <w:rFonts w:ascii="宋体" w:hAnsi="宋体" w:cs="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780"/>
        </w:trPr>
        <w:tc>
          <w:tcPr>
            <w:tcW w:w="646"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5</w:t>
            </w:r>
            <w:r/>
          </w:p>
        </w:tc>
        <w:tc>
          <w:tcPr>
            <w:tcW w:w="5447" w:type="dxa"/>
            <w:vAlign w:val="center"/>
            <w:textDirection w:val="lrTb"/>
            <w:noWrap w:val="false"/>
          </w:tcPr>
          <w:p>
            <w:pPr>
              <w:pStyle w:val="840"/>
              <w:spacing w:line="360" w:lineRule="auto"/>
              <w:rPr>
                <w:rFonts w:ascii="宋体" w:hAnsi="宋体" w:cs="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780"/>
        </w:trPr>
        <w:tc>
          <w:tcPr>
            <w:tcW w:w="646"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6</w:t>
            </w:r>
            <w:r/>
          </w:p>
        </w:tc>
        <w:tc>
          <w:tcPr>
            <w:tcW w:w="5447" w:type="dxa"/>
            <w:vAlign w:val="center"/>
            <w:textDirection w:val="lrTb"/>
            <w:noWrap w:val="false"/>
          </w:tcPr>
          <w:p>
            <w:pPr>
              <w:pStyle w:val="840"/>
              <w:spacing w:line="360" w:lineRule="auto"/>
              <w:rPr>
                <w:rFonts w:ascii="宋体" w:hAnsi="宋体" w:cs="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780"/>
        </w:trPr>
        <w:tc>
          <w:tcPr>
            <w:tcW w:w="646"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7</w:t>
            </w:r>
            <w:r/>
          </w:p>
        </w:tc>
        <w:tc>
          <w:tcPr>
            <w:tcW w:w="5447" w:type="dxa"/>
            <w:vAlign w:val="center"/>
            <w:textDirection w:val="lrTb"/>
            <w:noWrap w:val="false"/>
          </w:tcPr>
          <w:p>
            <w:pPr>
              <w:pStyle w:val="840"/>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445"/>
        </w:trPr>
        <w:tc>
          <w:tcPr>
            <w:tcW w:w="646"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8</w:t>
            </w:r>
            <w:r/>
          </w:p>
        </w:tc>
        <w:tc>
          <w:tcPr>
            <w:tcW w:w="5447" w:type="dxa"/>
            <w:vAlign w:val="center"/>
            <w:textDirection w:val="lrTb"/>
            <w:noWrap w:val="false"/>
          </w:tcPr>
          <w:p>
            <w:pPr>
              <w:pStyle w:val="840"/>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90"/>
        </w:trPr>
        <w:tc>
          <w:tcPr>
            <w:gridSpan w:val="3"/>
            <w:tcW w:w="8251" w:type="dxa"/>
            <w:vAlign w:val="center"/>
            <w:textDirection w:val="lrTb"/>
            <w:noWrap w:val="false"/>
          </w:tcPr>
          <w:p>
            <w:pPr>
              <w:pStyle w:val="840"/>
              <w:jc w:val="left"/>
              <w:spacing w:line="360" w:lineRule="auto"/>
              <w:rPr>
                <w:rFonts w:ascii="宋体" w:hAnsi="宋体" w:cs="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pStyle w:val="840"/>
              <w:jc w:val="center"/>
              <w:spacing w:line="360" w:lineRule="auto"/>
              <w:rPr>
                <w:rFonts w:ascii="宋体" w:hAnsi="宋体" w:cs="宋体"/>
                <w:szCs w:val="21"/>
              </w:rPr>
            </w:pPr>
            <w:r>
              <w:rPr>
                <w:rFonts w:hint="eastAsia" w:ascii="宋体" w:hAnsi="宋体" w:cs="宋体"/>
                <w:szCs w:val="21"/>
              </w:rPr>
              <w:t xml:space="preserve">9</w:t>
            </w:r>
            <w:r/>
          </w:p>
        </w:tc>
        <w:tc>
          <w:tcPr>
            <w:tcW w:w="5447" w:type="dxa"/>
            <w:vAlign w:val="center"/>
            <w:textDirection w:val="lrTb"/>
            <w:noWrap w:val="false"/>
          </w:tcPr>
          <w:p>
            <w:pPr>
              <w:pStyle w:val="840"/>
              <w:jc w:val="left"/>
              <w:spacing w:line="360" w:lineRule="auto"/>
              <w:rPr>
                <w:rFonts w:ascii="宋体" w:hAnsi="宋体" w:cs="宋体"/>
                <w:szCs w:val="21"/>
              </w:rPr>
            </w:pPr>
            <w:r>
              <w:rPr>
                <w:rFonts w:hint="eastAsia" w:ascii="宋体" w:hAnsi="宋体" w:cs="宋体"/>
                <w:szCs w:val="21"/>
              </w:rPr>
              <w:t xml:space="preserve">中小企业声明函</w:t>
            </w:r>
            <w:r/>
          </w:p>
        </w:tc>
        <w:tc>
          <w:tcPr>
            <w:tcW w:w="215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383"/>
        </w:trPr>
        <w:tc>
          <w:tcPr>
            <w:gridSpan w:val="3"/>
            <w:tcW w:w="8251" w:type="dxa"/>
            <w:vAlign w:val="center"/>
            <w:textDirection w:val="lrTb"/>
            <w:noWrap w:val="false"/>
          </w:tcPr>
          <w:p>
            <w:pPr>
              <w:pStyle w:val="840"/>
              <w:jc w:val="left"/>
              <w:spacing w:line="360" w:lineRule="auto"/>
              <w:rPr>
                <w:rFonts w:ascii="宋体" w:hAnsi="宋体" w:cs="宋体"/>
                <w:szCs w:val="21"/>
              </w:rPr>
            </w:pPr>
            <w:r>
              <w:rPr>
                <w:rFonts w:hint="eastAsia" w:ascii="宋体" w:hAnsi="宋体" w:cs="宋体"/>
                <w:b/>
                <w:szCs w:val="21"/>
              </w:rPr>
              <w:t xml:space="preserve">特定资格条件</w:t>
            </w:r>
            <w:r/>
          </w:p>
        </w:tc>
      </w:tr>
      <w:tr>
        <w:trPr>
          <w:trHeight w:val="389"/>
        </w:trPr>
        <w:tc>
          <w:tcPr>
            <w:tcW w:w="646"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10</w:t>
            </w:r>
            <w:r/>
          </w:p>
        </w:tc>
        <w:tc>
          <w:tcPr>
            <w:tcW w:w="5447" w:type="dxa"/>
            <w:vAlign w:val="center"/>
            <w:textDirection w:val="lrTb"/>
            <w:noWrap w:val="false"/>
          </w:tcPr>
          <w:p>
            <w:r>
              <w:rPr>
                <w:rFonts w:hint="eastAsia"/>
              </w:rPr>
              <w:t xml:space="preserve">无</w:t>
            </w:r>
            <w:r/>
          </w:p>
        </w:tc>
        <w:tc>
          <w:tcPr>
            <w:tcW w:w="215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400"/>
        </w:trPr>
        <w:tc>
          <w:tcPr>
            <w:gridSpan w:val="3"/>
            <w:tcW w:w="8251" w:type="dxa"/>
            <w:vAlign w:val="center"/>
            <w:textDirection w:val="lrTb"/>
            <w:noWrap w:val="false"/>
          </w:tcPr>
          <w:p>
            <w:pPr>
              <w:pStyle w:val="840"/>
              <w:jc w:val="left"/>
              <w:rPr>
                <w:rFonts w:ascii="宋体" w:hAnsi="宋体" w:cs="宋体"/>
                <w:szCs w:val="21"/>
              </w:rPr>
            </w:pPr>
            <w:r>
              <w:rPr>
                <w:rFonts w:hint="eastAsia" w:ascii="宋体" w:hAnsi="宋体" w:cs="宋体"/>
                <w:b/>
                <w:szCs w:val="21"/>
              </w:rPr>
              <w:t xml:space="preserve">其他资格条件</w:t>
            </w:r>
            <w:r/>
          </w:p>
        </w:tc>
      </w:tr>
      <w:tr>
        <w:trPr>
          <w:trHeight w:val="400"/>
        </w:trPr>
        <w:tc>
          <w:tcPr>
            <w:tcW w:w="646"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11</w:t>
            </w:r>
            <w:r/>
          </w:p>
        </w:tc>
        <w:tc>
          <w:tcPr>
            <w:tcW w:w="5447" w:type="dxa"/>
            <w:vAlign w:val="center"/>
            <w:textDirection w:val="lrTb"/>
            <w:noWrap w:val="false"/>
          </w:tcPr>
          <w:p>
            <w:pPr>
              <w:pStyle w:val="840"/>
              <w:jc w:val="left"/>
              <w:spacing w:line="0" w:lineRule="atLeast"/>
              <w:rPr>
                <w:rFonts w:ascii="宋体" w:hAnsi="宋体" w:cs="宋体"/>
                <w:iCs/>
                <w:szCs w:val="21"/>
              </w:rPr>
            </w:pPr>
            <w:r>
              <w:rPr>
                <w:rFonts w:hint="eastAsia" w:ascii="宋体" w:hAnsi="宋体" w:cs="宋体"/>
                <w:iCs/>
                <w:szCs w:val="21"/>
              </w:rPr>
              <w:t xml:space="preserve">投标函</w:t>
            </w:r>
            <w:r/>
          </w:p>
        </w:tc>
        <w:tc>
          <w:tcPr>
            <w:tcW w:w="215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400"/>
        </w:trPr>
        <w:tc>
          <w:tcPr>
            <w:tcW w:w="646"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12</w:t>
            </w:r>
            <w:r/>
          </w:p>
        </w:tc>
        <w:tc>
          <w:tcPr>
            <w:tcW w:w="5447" w:type="dxa"/>
            <w:vAlign w:val="center"/>
            <w:textDirection w:val="lrTb"/>
            <w:noWrap w:val="false"/>
          </w:tcPr>
          <w:p>
            <w:pPr>
              <w:pStyle w:val="840"/>
              <w:jc w:val="left"/>
              <w:spacing w:line="0" w:lineRule="atLeast"/>
              <w:rPr>
                <w:rFonts w:ascii="宋体" w:hAnsi="宋体" w:cs="宋体"/>
                <w:iCs/>
                <w:szCs w:val="21"/>
              </w:rPr>
            </w:pPr>
            <w:r>
              <w:rPr>
                <w:rFonts w:hint="eastAsia" w:ascii="宋体" w:hAnsi="宋体" w:cs="宋体"/>
                <w:iCs/>
                <w:szCs w:val="21"/>
              </w:rPr>
              <w:t xml:space="preserve">法人授权书</w:t>
            </w:r>
            <w:r/>
          </w:p>
        </w:tc>
        <w:tc>
          <w:tcPr>
            <w:tcW w:w="2158" w:type="dxa"/>
            <w:vAlign w:val="center"/>
            <w:textDirection w:val="lrTb"/>
            <w:noWrap w:val="false"/>
          </w:tcPr>
          <w:p>
            <w:pPr>
              <w:pStyle w:val="840"/>
              <w:rPr>
                <w:rFonts w:ascii="宋体" w:hAnsi="宋体" w:cs="宋体"/>
                <w:szCs w:val="21"/>
              </w:rPr>
            </w:pPr>
            <w:r>
              <w:rPr>
                <w:rFonts w:ascii="宋体" w:hAnsi="宋体" w:cs="宋体"/>
                <w:szCs w:val="21"/>
              </w:rPr>
            </w:r>
            <w:r/>
          </w:p>
        </w:tc>
      </w:tr>
    </w:tbl>
    <w:p>
      <w:pPr>
        <w:pStyle w:val="840"/>
        <w:ind w:firstLine="1476"/>
        <w:spacing w:before="156" w:after="156" w:line="360" w:lineRule="auto"/>
        <w:rPr>
          <w:rFonts w:ascii="宋体" w:hAnsi="宋体"/>
          <w:b/>
          <w:bCs/>
        </w:rPr>
      </w:pPr>
      <w:r>
        <w:rPr>
          <w:rFonts w:ascii="宋体" w:hAnsi="宋体"/>
          <w:b/>
          <w:bCs/>
        </w:rPr>
        <w:br w:type="page" w:clear="all"/>
      </w:r>
      <w:r>
        <w:rPr>
          <w:rFonts w:ascii="宋体" w:hAnsi="宋体"/>
          <w:b/>
          <w:bCs/>
        </w:rPr>
        <w:t xml:space="preserve">具备履行合同所必需的设备和专业技术能力的书面声明</w:t>
      </w:r>
      <w:r/>
    </w:p>
    <w:p>
      <w:pPr>
        <w:pStyle w:val="840"/>
        <w:ind w:firstLine="492"/>
        <w:spacing w:line="460" w:lineRule="exact"/>
        <w:rPr>
          <w:rFonts w:ascii="宋体" w:hAnsi="宋体"/>
          <w:bCs/>
          <w:szCs w:val="21"/>
        </w:rPr>
      </w:pPr>
      <w:r>
        <w:rPr>
          <w:rFonts w:ascii="宋体" w:hAnsi="宋体"/>
          <w:bCs/>
          <w:szCs w:val="21"/>
        </w:rPr>
        <w:t xml:space="preserve">我单位郑重声明：我单位具备履行本项采购合同所必需的设备和专业技术能力，为履行本项采购合同我公司具备如下主要设备和主要专业技术能力：</w:t>
      </w:r>
      <w:r/>
    </w:p>
    <w:p>
      <w:pPr>
        <w:pStyle w:val="840"/>
        <w:ind w:firstLine="492"/>
        <w:spacing w:line="460" w:lineRule="exact"/>
        <w:rPr>
          <w:rFonts w:ascii="宋体" w:hAnsi="宋体"/>
          <w:bCs/>
          <w:szCs w:val="21"/>
        </w:rPr>
      </w:pPr>
      <w:r>
        <w:rPr>
          <w:rFonts w:ascii="宋体" w:hAnsi="宋体"/>
          <w:bCs/>
          <w:szCs w:val="21"/>
        </w:rPr>
        <w:t xml:space="preserve">主要设备有：</w:t>
      </w:r>
      <w:r>
        <w:rPr>
          <w:rFonts w:ascii="宋体" w:hAnsi="宋体"/>
          <w:bCs/>
          <w:szCs w:val="21"/>
          <w:u w:val="single"/>
        </w:rPr>
        <w:t xml:space="preserve">  </w:t>
      </w:r>
      <w:r>
        <w:rPr>
          <w:rFonts w:ascii="宋体" w:hAnsi="宋体"/>
          <w:bCs/>
          <w:szCs w:val="21"/>
        </w:rPr>
        <w:t xml:space="preserve">。</w:t>
      </w:r>
      <w:r/>
    </w:p>
    <w:p>
      <w:pPr>
        <w:pStyle w:val="840"/>
        <w:ind w:firstLine="492"/>
        <w:spacing w:line="460" w:lineRule="exact"/>
        <w:rPr>
          <w:rFonts w:ascii="宋体" w:hAnsi="宋体"/>
          <w:bCs/>
          <w:szCs w:val="21"/>
        </w:rPr>
      </w:pPr>
      <w:r>
        <w:rPr>
          <w:rFonts w:ascii="宋体" w:hAnsi="宋体"/>
          <w:bCs/>
          <w:szCs w:val="21"/>
        </w:rPr>
        <w:t xml:space="preserve">主要专业技术能力有：</w:t>
      </w:r>
      <w:r>
        <w:rPr>
          <w:rFonts w:ascii="宋体" w:hAnsi="宋体"/>
          <w:bCs/>
          <w:szCs w:val="21"/>
          <w:u w:val="single"/>
        </w:rPr>
        <w:t xml:space="preserve">   </w:t>
      </w:r>
      <w:r>
        <w:rPr>
          <w:rFonts w:ascii="宋体" w:hAnsi="宋体"/>
          <w:bCs/>
          <w:szCs w:val="21"/>
        </w:rPr>
        <w:t xml:space="preserve">。</w:t>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r>
      <w:r/>
    </w:p>
    <w:p>
      <w:pPr>
        <w:pStyle w:val="840"/>
        <w:contextualSpacing/>
        <w:spacing w:line="600" w:lineRule="exact"/>
        <w:rPr>
          <w:rFonts w:ascii="宋体" w:hAnsi="宋体"/>
          <w:b/>
          <w:color w:val="000000"/>
          <w:sz w:val="36"/>
        </w:rPr>
      </w:pPr>
      <w:r>
        <w:rPr>
          <w:rFonts w:ascii="宋体" w:hAnsi="宋体"/>
          <w:b/>
          <w:color w:val="000000"/>
          <w:sz w:val="36"/>
        </w:rPr>
        <w:br w:type="page" w:clear="all"/>
      </w:r>
      <w:r/>
    </w:p>
    <w:p>
      <w:pPr>
        <w:pStyle w:val="840"/>
        <w:jc w:val="center"/>
        <w:spacing w:line="360" w:lineRule="auto"/>
        <w:rPr>
          <w:rFonts w:ascii="宋体" w:hAnsi="宋体"/>
          <w:b/>
          <w:bCs/>
        </w:rPr>
      </w:pPr>
      <w:r>
        <w:rPr>
          <w:rFonts w:ascii="宋体" w:hAnsi="宋体"/>
          <w:b/>
          <w:bCs/>
        </w:rPr>
        <w:t xml:space="preserve">参加本次政府采购活动前 3 年内在经营活动中没有重大违法记录的书面声明</w:t>
      </w:r>
      <w:r/>
    </w:p>
    <w:p>
      <w:pPr>
        <w:pStyle w:val="840"/>
        <w:spacing w:line="360" w:lineRule="auto"/>
        <w:rPr>
          <w:rFonts w:ascii="宋体" w:hAnsi="宋体"/>
        </w:rPr>
      </w:pPr>
      <w:r>
        <w:rPr>
          <w:rFonts w:ascii="宋体" w:hAnsi="宋体"/>
        </w:rPr>
      </w:r>
      <w:r/>
    </w:p>
    <w:p>
      <w:pPr>
        <w:pStyle w:val="840"/>
        <w:jc w:val="center"/>
        <w:spacing w:after="312" w:line="360" w:lineRule="auto"/>
        <w:rPr>
          <w:rFonts w:ascii="宋体" w:hAnsi="宋体"/>
          <w:b/>
          <w:bCs/>
        </w:rPr>
      </w:pPr>
      <w:r>
        <w:rPr>
          <w:rFonts w:ascii="宋体" w:hAnsi="宋体"/>
          <w:b/>
          <w:bCs/>
        </w:rPr>
        <w:t xml:space="preserve">声  明</w:t>
      </w:r>
      <w:r/>
    </w:p>
    <w:p>
      <w:pPr>
        <w:pStyle w:val="840"/>
        <w:spacing w:line="360" w:lineRule="auto"/>
        <w:rPr>
          <w:rFonts w:ascii="宋体" w:hAnsi="宋体"/>
          <w:bCs/>
        </w:rPr>
      </w:pPr>
      <w:r>
        <w:rPr>
          <w:rFonts w:ascii="宋体" w:hAnsi="宋体"/>
          <w:b/>
          <w:bCs/>
        </w:rPr>
        <w:t xml:space="preserve">    </w:t>
      </w:r>
      <w:r>
        <w:rPr>
          <w:rFonts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pStyle w:val="840"/>
        <w:spacing w:line="360" w:lineRule="auto"/>
        <w:rPr>
          <w:rFonts w:ascii="宋体" w:hAnsi="宋体"/>
          <w:bCs/>
        </w:rPr>
      </w:pPr>
      <w:r>
        <w:rPr>
          <w:rFonts w:ascii="宋体" w:hAnsi="宋体"/>
          <w:bCs/>
        </w:rPr>
        <w:t xml:space="preserve">                               供应商名称（公章）：</w:t>
      </w:r>
      <w:r/>
    </w:p>
    <w:p>
      <w:pPr>
        <w:pStyle w:val="840"/>
        <w:spacing w:line="360" w:lineRule="auto"/>
        <w:rPr>
          <w:rFonts w:ascii="宋体" w:hAnsi="宋体"/>
          <w:bCs/>
        </w:rPr>
      </w:pPr>
      <w:r>
        <w:rPr>
          <w:rFonts w:ascii="宋体" w:hAnsi="宋体"/>
          <w:bCs/>
        </w:rPr>
        <w:t xml:space="preserve">                               法定代表人签章：_______________________</w:t>
      </w:r>
      <w:r/>
    </w:p>
    <w:p>
      <w:pPr>
        <w:pStyle w:val="840"/>
        <w:spacing w:line="360" w:lineRule="auto"/>
        <w:rPr>
          <w:rFonts w:ascii="宋体" w:hAnsi="宋体"/>
          <w:bCs/>
        </w:rPr>
      </w:pPr>
      <w:r>
        <w:rPr>
          <w:rFonts w:ascii="宋体" w:hAnsi="宋体"/>
          <w:bCs/>
        </w:rPr>
        <w:t xml:space="preserve">                               日期：______年    月    日</w:t>
      </w:r>
      <w:r/>
    </w:p>
    <w:p>
      <w:pPr>
        <w:pStyle w:val="840"/>
        <w:jc w:val="center"/>
        <w:spacing w:line="360" w:lineRule="auto"/>
        <w:rPr>
          <w:rFonts w:ascii="宋体" w:hAnsi="宋体"/>
          <w:b/>
          <w:bCs/>
        </w:rPr>
      </w:pPr>
      <w:r>
        <w:rPr>
          <w:rFonts w:ascii="宋体" w:hAnsi="宋体"/>
          <w:b/>
          <w:bCs/>
        </w:rPr>
      </w:r>
      <w:r/>
    </w:p>
    <w:p>
      <w:pPr>
        <w:pStyle w:val="840"/>
        <w:jc w:val="center"/>
        <w:spacing w:line="360" w:lineRule="auto"/>
        <w:rPr>
          <w:rFonts w:ascii="宋体" w:hAnsi="宋体"/>
          <w:b/>
          <w:bCs/>
        </w:rPr>
      </w:pPr>
      <w:r>
        <w:rPr>
          <w:rFonts w:ascii="宋体" w:hAnsi="宋体"/>
          <w:b/>
          <w:bCs/>
        </w:rPr>
      </w:r>
      <w:r/>
    </w:p>
    <w:p>
      <w:pPr>
        <w:pStyle w:val="840"/>
        <w:jc w:val="center"/>
        <w:spacing w:line="360" w:lineRule="auto"/>
        <w:rPr>
          <w:rFonts w:ascii="宋体" w:hAnsi="宋体"/>
          <w:b/>
          <w:bCs/>
        </w:rPr>
      </w:pPr>
      <w:r>
        <w:rPr>
          <w:rFonts w:ascii="宋体" w:hAnsi="宋体"/>
          <w:b/>
          <w:bCs/>
        </w:rPr>
      </w:r>
      <w:r/>
    </w:p>
    <w:p>
      <w:pPr>
        <w:pStyle w:val="840"/>
        <w:jc w:val="center"/>
        <w:spacing w:line="360" w:lineRule="auto"/>
        <w:rPr>
          <w:rFonts w:ascii="宋体" w:hAnsi="宋体"/>
          <w:b/>
          <w:bCs/>
        </w:rPr>
      </w:pPr>
      <w:r>
        <w:rPr>
          <w:rFonts w:ascii="宋体" w:hAnsi="宋体"/>
          <w:b/>
          <w:bCs/>
        </w:rPr>
      </w:r>
      <w:r/>
    </w:p>
    <w:p>
      <w:pPr>
        <w:pStyle w:val="840"/>
        <w:jc w:val="center"/>
        <w:spacing w:line="360" w:lineRule="auto"/>
        <w:rPr>
          <w:rFonts w:ascii="宋体" w:hAnsi="宋体"/>
          <w:b/>
          <w:bCs/>
        </w:rPr>
      </w:pPr>
      <w:r>
        <w:rPr>
          <w:rFonts w:ascii="宋体" w:hAnsi="宋体"/>
          <w:b/>
          <w:bCs/>
        </w:rPr>
      </w:r>
      <w:r/>
    </w:p>
    <w:p>
      <w:pPr>
        <w:pStyle w:val="840"/>
        <w:jc w:val="center"/>
        <w:spacing w:line="360" w:lineRule="auto"/>
        <w:rPr>
          <w:rFonts w:ascii="宋体" w:hAnsi="宋体"/>
          <w:b/>
          <w:bCs/>
        </w:rPr>
      </w:pPr>
      <w:r>
        <w:rPr>
          <w:rFonts w:ascii="宋体" w:hAnsi="宋体"/>
          <w:b/>
          <w:bCs/>
        </w:rPr>
      </w:r>
      <w:r/>
    </w:p>
    <w:p>
      <w:pPr>
        <w:pStyle w:val="840"/>
        <w:jc w:val="center"/>
        <w:spacing w:line="500" w:lineRule="exact"/>
        <w:rPr>
          <w:rFonts w:ascii="宋体" w:hAnsi="宋体"/>
          <w:b/>
          <w:szCs w:val="21"/>
        </w:rPr>
      </w:pPr>
      <w:r>
        <w:rPr>
          <w:rFonts w:ascii="宋体" w:hAnsi="宋体"/>
          <w:b/>
          <w:bCs/>
        </w:rPr>
        <w:br w:type="page" w:clear="all"/>
      </w:r>
      <w:r>
        <w:rPr>
          <w:rFonts w:ascii="宋体" w:hAnsi="宋体"/>
          <w:b/>
          <w:szCs w:val="21"/>
        </w:rPr>
        <w:t xml:space="preserve">供应商信用承诺书</w:t>
      </w:r>
      <w:r/>
    </w:p>
    <w:p>
      <w:pPr>
        <w:pStyle w:val="840"/>
        <w:spacing w:line="360" w:lineRule="auto"/>
        <w:rPr>
          <w:rFonts w:ascii="宋体" w:hAnsi="宋体"/>
          <w:szCs w:val="21"/>
        </w:rPr>
      </w:pPr>
      <w:r>
        <w:rPr>
          <w:rFonts w:ascii="宋体" w:hAnsi="宋体"/>
          <w:szCs w:val="21"/>
        </w:rPr>
        <w:t xml:space="preserve">承诺主体名称：</w:t>
      </w:r>
      <w:r/>
    </w:p>
    <w:p>
      <w:pPr>
        <w:pStyle w:val="840"/>
        <w:spacing w:line="360" w:lineRule="auto"/>
        <w:rPr>
          <w:rFonts w:ascii="宋体" w:hAnsi="宋体"/>
          <w:szCs w:val="21"/>
        </w:rPr>
      </w:pPr>
      <w:r>
        <w:rPr>
          <w:rFonts w:ascii="宋体" w:hAnsi="宋体"/>
          <w:szCs w:val="21"/>
        </w:rPr>
        <w:t xml:space="preserve">统一社会信用代码：</w:t>
      </w:r>
      <w:r/>
    </w:p>
    <w:p>
      <w:pPr>
        <w:pStyle w:val="840"/>
        <w:ind w:firstLine="420"/>
        <w:spacing w:line="360" w:lineRule="auto"/>
        <w:rPr>
          <w:rFonts w:ascii="宋体" w:hAnsi="宋体"/>
          <w:szCs w:val="21"/>
        </w:rPr>
      </w:pPr>
      <w:r>
        <w:rPr>
          <w:rFonts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40"/>
        <w:ind w:firstLine="420"/>
        <w:spacing w:line="360" w:lineRule="auto"/>
        <w:rPr>
          <w:rFonts w:ascii="宋体" w:hAnsi="宋体"/>
          <w:szCs w:val="21"/>
        </w:rPr>
      </w:pPr>
      <w:r>
        <w:rPr>
          <w:rFonts w:ascii="宋体" w:hAnsi="宋体"/>
          <w:szCs w:val="21"/>
        </w:rPr>
        <w:t xml:space="preserve">一、对提供给注册登记部门、行业管理部门、司法部门、行业组织以及在政府采购活动中提交的所有资料的合法性、真实性、准确性和有效性负责；</w:t>
      </w:r>
      <w:r/>
    </w:p>
    <w:p>
      <w:pPr>
        <w:pStyle w:val="840"/>
        <w:ind w:firstLine="420"/>
        <w:spacing w:line="360" w:lineRule="auto"/>
        <w:rPr>
          <w:rFonts w:ascii="宋体" w:hAnsi="宋体"/>
          <w:szCs w:val="21"/>
        </w:rPr>
      </w:pPr>
      <w:r>
        <w:rPr>
          <w:rFonts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pStyle w:val="840"/>
        <w:ind w:firstLine="420"/>
        <w:spacing w:line="360" w:lineRule="auto"/>
        <w:rPr>
          <w:rFonts w:ascii="宋体" w:hAnsi="宋体"/>
          <w:szCs w:val="21"/>
        </w:rPr>
      </w:pPr>
      <w:r>
        <w:rPr>
          <w:rFonts w:ascii="宋体" w:hAnsi="宋体"/>
          <w:szCs w:val="21"/>
        </w:rPr>
        <w:t xml:space="preserve">三、严格依法开展生产经营活动，主动接受行业监管，自愿接受依法开展的日常检查；违法失信经营后将自愿接受约束和惩戒，并依法承担相应责任；</w:t>
      </w:r>
      <w:r/>
    </w:p>
    <w:p>
      <w:pPr>
        <w:pStyle w:val="840"/>
        <w:ind w:firstLine="420"/>
        <w:spacing w:line="360" w:lineRule="auto"/>
        <w:rPr>
          <w:rFonts w:ascii="宋体" w:hAnsi="宋体"/>
          <w:szCs w:val="21"/>
        </w:rPr>
      </w:pPr>
      <w:r>
        <w:rPr>
          <w:rFonts w:ascii="宋体" w:hAnsi="宋体"/>
          <w:szCs w:val="21"/>
        </w:rPr>
        <w:t xml:space="preserve">四、自觉接受行政管理部门、行业组织、社会公众、新闻舆论的监督；</w:t>
      </w:r>
      <w:r/>
    </w:p>
    <w:p>
      <w:pPr>
        <w:pStyle w:val="840"/>
        <w:ind w:firstLine="420"/>
        <w:spacing w:line="360" w:lineRule="auto"/>
        <w:rPr>
          <w:rFonts w:ascii="宋体" w:hAnsi="宋体"/>
          <w:szCs w:val="21"/>
        </w:rPr>
      </w:pPr>
      <w:r>
        <w:rPr>
          <w:rFonts w:ascii="宋体" w:hAnsi="宋体"/>
          <w:szCs w:val="21"/>
        </w:rPr>
        <w:t xml:space="preserve">五、自觉做到自我约束、自我管理，不制假售假、商标侵权、虚假宣传、违约毁约、恶意逃债、偷税漏税、垄断和不正当竞争，维护经营者、消费者的合法权益；</w:t>
      </w:r>
      <w:r/>
    </w:p>
    <w:p>
      <w:pPr>
        <w:pStyle w:val="840"/>
        <w:ind w:firstLine="420"/>
        <w:spacing w:line="360" w:lineRule="auto"/>
        <w:rPr>
          <w:rFonts w:ascii="宋体" w:hAnsi="宋体"/>
          <w:szCs w:val="21"/>
        </w:rPr>
      </w:pPr>
      <w:r>
        <w:rPr>
          <w:rFonts w:ascii="宋体" w:hAnsi="宋体"/>
          <w:szCs w:val="21"/>
        </w:rPr>
        <w:t xml:space="preserve">六、提出政府采购质疑和投诉坚持依法依规、诚实信用原则，在全国范围12个月内没有三次以上查无实据的政府采购投诉；</w:t>
      </w:r>
      <w:r/>
    </w:p>
    <w:p>
      <w:pPr>
        <w:pStyle w:val="840"/>
        <w:ind w:firstLine="420"/>
        <w:spacing w:line="360" w:lineRule="auto"/>
        <w:rPr>
          <w:rFonts w:ascii="宋体" w:hAnsi="宋体"/>
          <w:szCs w:val="21"/>
        </w:rPr>
      </w:pPr>
      <w:r>
        <w:rPr>
          <w:rFonts w:ascii="宋体" w:hAnsi="宋体"/>
          <w:szCs w:val="21"/>
        </w:rPr>
        <w:t xml:space="preserve">七、严格遵守信用信息公示相关规定，向社会公示信用信息；</w:t>
      </w:r>
      <w:r/>
    </w:p>
    <w:p>
      <w:pPr>
        <w:pStyle w:val="840"/>
        <w:ind w:firstLine="420"/>
        <w:spacing w:line="360" w:lineRule="auto"/>
        <w:rPr>
          <w:rFonts w:ascii="宋体" w:hAnsi="宋体"/>
          <w:szCs w:val="21"/>
        </w:rPr>
      </w:pPr>
      <w:r>
        <w:rPr>
          <w:rFonts w:ascii="宋体" w:hAnsi="宋体"/>
          <w:szCs w:val="21"/>
        </w:rPr>
        <w:t xml:space="preserve">八、在“信用中国”和“中国政府采购网”网站中无违法违规、较重或严重失信记录；</w:t>
      </w:r>
      <w:r/>
    </w:p>
    <w:p>
      <w:pPr>
        <w:pStyle w:val="840"/>
        <w:ind w:firstLine="420"/>
        <w:spacing w:line="360" w:lineRule="auto"/>
        <w:rPr>
          <w:rFonts w:ascii="宋体" w:hAnsi="宋体"/>
          <w:szCs w:val="21"/>
        </w:rPr>
      </w:pPr>
      <w:r>
        <w:rPr>
          <w:rFonts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840"/>
        <w:ind w:firstLine="420"/>
        <w:spacing w:line="360" w:lineRule="auto"/>
        <w:rPr>
          <w:rFonts w:ascii="宋体" w:hAnsi="宋体"/>
          <w:szCs w:val="21"/>
        </w:rPr>
      </w:pPr>
      <w:r>
        <w:rPr>
          <w:rFonts w:ascii="宋体" w:hAnsi="宋体"/>
          <w:szCs w:val="21"/>
        </w:rPr>
        <w:t xml:space="preserve">十、本承诺书自签订之日起生效。</w:t>
      </w:r>
      <w:r/>
    </w:p>
    <w:p>
      <w:pPr>
        <w:pStyle w:val="840"/>
        <w:ind w:firstLine="420"/>
        <w:spacing w:line="360" w:lineRule="auto"/>
        <w:rPr>
          <w:rFonts w:ascii="宋体" w:hAnsi="宋体"/>
          <w:szCs w:val="21"/>
        </w:rPr>
      </w:pPr>
      <w:r>
        <w:rPr>
          <w:rFonts w:ascii="宋体" w:hAnsi="宋体"/>
          <w:szCs w:val="21"/>
        </w:rPr>
        <w:t xml:space="preserve"> （注：法定代表人或负责人、主体名称发生变更的应当重新做出承诺。）</w:t>
      </w:r>
      <w:r/>
    </w:p>
    <w:p>
      <w:pPr>
        <w:pStyle w:val="840"/>
        <w:jc w:val="center"/>
        <w:spacing w:line="360" w:lineRule="auto"/>
        <w:rPr>
          <w:rFonts w:ascii="宋体" w:hAnsi="宋体"/>
          <w:szCs w:val="21"/>
        </w:rPr>
      </w:pPr>
      <w:r>
        <w:rPr>
          <w:rFonts w:ascii="宋体" w:hAnsi="宋体"/>
          <w:szCs w:val="21"/>
        </w:rPr>
        <w:t xml:space="preserve">　　　　　　　　　　                     承诺单位（签章）：           </w:t>
      </w:r>
      <w:r/>
    </w:p>
    <w:p>
      <w:pPr>
        <w:pStyle w:val="840"/>
        <w:jc w:val="center"/>
        <w:spacing w:line="360" w:lineRule="auto"/>
        <w:rPr>
          <w:rFonts w:ascii="宋体" w:hAnsi="宋体"/>
          <w:szCs w:val="21"/>
        </w:rPr>
      </w:pPr>
      <w:r>
        <w:rPr>
          <w:rFonts w:ascii="宋体" w:hAnsi="宋体"/>
          <w:szCs w:val="21"/>
        </w:rPr>
        <w:t xml:space="preserve">　　　　　　　　　   　  法定代表人（负责人）：</w:t>
      </w:r>
      <w:r/>
    </w:p>
    <w:p>
      <w:pPr>
        <w:pStyle w:val="840"/>
        <w:jc w:val="center"/>
        <w:spacing w:line="360" w:lineRule="auto"/>
        <w:rPr>
          <w:rFonts w:ascii="宋体" w:hAnsi="宋体"/>
          <w:szCs w:val="21"/>
        </w:rPr>
      </w:pPr>
      <w:r>
        <w:rPr>
          <w:rFonts w:ascii="宋体" w:hAnsi="宋体"/>
          <w:szCs w:val="21"/>
        </w:rPr>
        <w:t xml:space="preserve">　　　　　　　　　      　年    月    日</w:t>
      </w:r>
      <w:r/>
    </w:p>
    <w:p>
      <w:pPr>
        <w:pStyle w:val="840"/>
        <w:jc w:val="center"/>
        <w:spacing w:line="500" w:lineRule="exact"/>
        <w:rPr>
          <w:rFonts w:ascii="宋体" w:hAnsi="宋体"/>
          <w:szCs w:val="21"/>
        </w:rPr>
      </w:pPr>
      <w:r>
        <w:rPr>
          <w:rFonts w:ascii="宋体" w:hAnsi="宋体"/>
          <w:szCs w:val="21"/>
        </w:rPr>
      </w:r>
      <w:r/>
    </w:p>
    <w:p>
      <w:pPr>
        <w:pStyle w:val="840"/>
        <w:spacing w:line="560" w:lineRule="exact"/>
        <w:rPr>
          <w:rFonts w:ascii="宋体" w:hAnsi="宋体"/>
          <w:szCs w:val="21"/>
        </w:rPr>
      </w:pPr>
      <w:r>
        <w:rPr>
          <w:rFonts w:ascii="宋体" w:hAnsi="宋体"/>
          <w:szCs w:val="21"/>
        </w:rPr>
      </w:r>
      <w:r/>
    </w:p>
    <w:p>
      <w:pPr>
        <w:pStyle w:val="840"/>
        <w:spacing w:line="560" w:lineRule="exact"/>
        <w:rPr>
          <w:rFonts w:ascii="宋体" w:hAnsi="宋体"/>
          <w:szCs w:val="21"/>
        </w:rPr>
      </w:pPr>
      <w:r>
        <w:rPr>
          <w:rFonts w:ascii="宋体" w:hAnsi="宋体"/>
          <w:szCs w:val="21"/>
        </w:rPr>
      </w:r>
      <w:r/>
    </w:p>
    <w:p>
      <w:pPr>
        <w:pStyle w:val="840"/>
        <w:jc w:val="center"/>
        <w:spacing w:line="360" w:lineRule="auto"/>
        <w:rPr>
          <w:rFonts w:ascii="宋体" w:hAnsi="宋体"/>
          <w:b/>
          <w:bCs/>
        </w:rPr>
      </w:pPr>
      <w:r>
        <w:rPr>
          <w:rFonts w:ascii="宋体" w:hAnsi="宋体"/>
          <w:b/>
          <w:bCs/>
        </w:rPr>
        <w:br w:type="page" w:clear="all"/>
      </w:r>
      <w:r>
        <w:rPr>
          <w:rFonts w:ascii="宋体" w:hAnsi="宋体"/>
          <w:b/>
          <w:bCs/>
        </w:rPr>
        <w:t xml:space="preserve">投标函格式</w:t>
      </w:r>
      <w:r/>
    </w:p>
    <w:p>
      <w:pPr>
        <w:pStyle w:val="1153"/>
        <w:ind w:firstLine="0"/>
        <w:spacing w:before="0" w:after="0"/>
        <w:rPr>
          <w:rFonts w:ascii="宋体" w:hAnsi="宋体"/>
          <w:sz w:val="21"/>
          <w:szCs w:val="21"/>
        </w:rPr>
      </w:pPr>
      <w:r>
        <w:rPr>
          <w:rFonts w:ascii="宋体" w:hAnsi="宋体"/>
          <w:sz w:val="21"/>
          <w:szCs w:val="21"/>
        </w:rPr>
        <w:t xml:space="preserve">致：江苏唯诚建设咨询有限公司</w:t>
      </w:r>
      <w:r/>
    </w:p>
    <w:p>
      <w:pPr>
        <w:pStyle w:val="1153"/>
        <w:ind w:firstLine="420"/>
        <w:spacing w:before="0" w:after="0"/>
        <w:rPr>
          <w:rFonts w:ascii="宋体" w:hAnsi="宋体"/>
          <w:sz w:val="21"/>
          <w:szCs w:val="21"/>
        </w:rPr>
      </w:pPr>
      <w:r>
        <w:rPr>
          <w:rFonts w:ascii="宋体" w:hAnsi="宋体"/>
          <w:sz w:val="21"/>
          <w:szCs w:val="21"/>
        </w:rPr>
        <w:t xml:space="preserve">根据贵方的</w:t>
      </w:r>
      <w:r>
        <w:rPr>
          <w:rFonts w:hint="eastAsia" w:ascii="宋体" w:hAnsi="宋体"/>
          <w:sz w:val="21"/>
          <w:szCs w:val="21"/>
          <w:lang w:eastAsia="zh-CN"/>
        </w:rPr>
        <w:t xml:space="preserve">JSZC-320000-JSWC-G2026-0022</w:t>
      </w:r>
      <w:r>
        <w:rPr>
          <w:rFonts w:ascii="宋体" w:hAnsi="宋体"/>
          <w:color w:val="000000"/>
          <w:sz w:val="21"/>
          <w:szCs w:val="21"/>
        </w:rPr>
        <w:t xml:space="preserve">号</w:t>
      </w:r>
      <w:r>
        <w:rPr>
          <w:rFonts w:ascii="宋体" w:hAnsi="宋体"/>
          <w:sz w:val="21"/>
          <w:szCs w:val="21"/>
        </w:rPr>
        <w:t xml:space="preserve">招标文件，正式授权下述签字人_________________(姓名)代表我方______________（投标人的名称），全权处理本次项目投标的有关事宜。</w:t>
      </w:r>
      <w:r/>
    </w:p>
    <w:p>
      <w:pPr>
        <w:pStyle w:val="1153"/>
        <w:ind w:firstLine="420"/>
        <w:spacing w:before="0" w:after="0"/>
        <w:rPr>
          <w:rFonts w:ascii="宋体" w:hAnsi="宋体"/>
          <w:sz w:val="21"/>
          <w:szCs w:val="21"/>
        </w:rPr>
      </w:pPr>
      <w:r>
        <w:rPr>
          <w:rFonts w:ascii="宋体" w:hAnsi="宋体"/>
          <w:sz w:val="21"/>
          <w:szCs w:val="21"/>
        </w:rPr>
        <w:t xml:space="preserve">据此函，__________签字人（姓名）兹宣布同意如下：</w:t>
      </w:r>
      <w:r/>
    </w:p>
    <w:p>
      <w:pPr>
        <w:pStyle w:val="1153"/>
        <w:ind w:firstLine="420"/>
        <w:spacing w:before="0" w:after="0"/>
        <w:rPr>
          <w:rFonts w:ascii="宋体" w:hAnsi="宋体"/>
          <w:sz w:val="21"/>
          <w:szCs w:val="21"/>
        </w:rPr>
      </w:pPr>
      <w:r>
        <w:rPr>
          <w:rFonts w:ascii="宋体" w:hAnsi="宋体"/>
          <w:sz w:val="21"/>
          <w:szCs w:val="21"/>
        </w:rPr>
        <w:t xml:space="preserve">1.按招标文件规定的各项要求，向买方提供所需货物与服务。</w:t>
      </w:r>
      <w:r/>
    </w:p>
    <w:p>
      <w:pPr>
        <w:pStyle w:val="1153"/>
        <w:ind w:firstLine="420"/>
        <w:spacing w:before="0" w:after="0"/>
        <w:rPr>
          <w:rFonts w:ascii="宋体" w:hAnsi="宋体"/>
          <w:sz w:val="21"/>
          <w:szCs w:val="21"/>
        </w:rPr>
      </w:pPr>
      <w:r>
        <w:rPr>
          <w:rFonts w:ascii="宋体" w:hAnsi="宋体"/>
          <w:sz w:val="21"/>
          <w:szCs w:val="21"/>
        </w:rPr>
        <w:t xml:space="preserve">2.我们完全理解贵方不一定将合同授予最低报价的投标人。</w:t>
      </w:r>
      <w:r/>
    </w:p>
    <w:p>
      <w:pPr>
        <w:pStyle w:val="1153"/>
        <w:ind w:firstLine="420"/>
        <w:spacing w:before="0" w:after="0"/>
        <w:rPr>
          <w:rFonts w:ascii="宋体" w:hAnsi="宋体"/>
          <w:sz w:val="21"/>
          <w:szCs w:val="21"/>
        </w:rPr>
      </w:pPr>
      <w:r>
        <w:rPr>
          <w:rFonts w:ascii="宋体" w:hAnsi="宋体"/>
          <w:sz w:val="21"/>
          <w:szCs w:val="21"/>
        </w:rPr>
        <w:t xml:space="preserve">3.我们已详细审核全部招标文件及其有效补充文件，我们知道必须放弃提出含糊不清或误解问题的权利。</w:t>
      </w:r>
      <w:r/>
    </w:p>
    <w:p>
      <w:pPr>
        <w:pStyle w:val="1153"/>
        <w:spacing w:before="0" w:after="0"/>
        <w:rPr>
          <w:rFonts w:ascii="宋体" w:hAnsi="宋体"/>
          <w:sz w:val="21"/>
          <w:szCs w:val="21"/>
        </w:rPr>
      </w:pPr>
      <w:r>
        <w:rPr>
          <w:rFonts w:ascii="宋体" w:hAnsi="宋体"/>
          <w:sz w:val="21"/>
          <w:szCs w:val="21"/>
        </w:rPr>
        <w:t xml:space="preserve">4.我们同意从规定的开标日期起遵循本投标文件，并在规定的投标有效期期满之前均具有约束力。</w:t>
      </w:r>
      <w:r/>
    </w:p>
    <w:p>
      <w:pPr>
        <w:pStyle w:val="1153"/>
        <w:spacing w:before="0" w:after="0"/>
        <w:rPr>
          <w:rFonts w:ascii="宋体" w:hAnsi="宋体"/>
          <w:sz w:val="21"/>
          <w:szCs w:val="21"/>
        </w:rPr>
      </w:pPr>
      <w:r>
        <w:rPr>
          <w:rFonts w:ascii="宋体" w:hAnsi="宋体"/>
          <w:sz w:val="21"/>
          <w:szCs w:val="21"/>
        </w:rPr>
        <w:t xml:space="preserve">5.同意向贵方提供贵方可能另外要求的与投标有关的任何证据或资料，并保证我方已提供和将要提供的文件是真实的、准确的。</w:t>
      </w:r>
      <w:r/>
    </w:p>
    <w:p>
      <w:pPr>
        <w:pStyle w:val="1153"/>
        <w:spacing w:before="0" w:after="0"/>
        <w:rPr>
          <w:rFonts w:ascii="宋体" w:hAnsi="宋体"/>
          <w:sz w:val="21"/>
          <w:szCs w:val="21"/>
        </w:rPr>
      </w:pPr>
      <w:r>
        <w:rPr>
          <w:rFonts w:ascii="宋体" w:hAnsi="宋体"/>
          <w:sz w:val="21"/>
          <w:szCs w:val="21"/>
        </w:rPr>
        <w:t xml:space="preserve">6.一旦我方中标,我方将根据招标文件的规定，严格履行合同的责任和义务,并保证在招标文件规定的时间完成项目，交付买方验收、使用。</w:t>
      </w:r>
      <w:r/>
    </w:p>
    <w:p>
      <w:pPr>
        <w:pStyle w:val="1153"/>
        <w:ind w:left="425" w:firstLine="105"/>
        <w:spacing w:before="0" w:after="0"/>
        <w:rPr>
          <w:rFonts w:ascii="宋体" w:hAnsi="宋体"/>
          <w:sz w:val="21"/>
          <w:szCs w:val="21"/>
        </w:rPr>
      </w:pPr>
      <w:r>
        <w:rPr>
          <w:rFonts w:ascii="宋体" w:hAnsi="宋体"/>
          <w:sz w:val="21"/>
          <w:szCs w:val="21"/>
        </w:rPr>
        <w:t xml:space="preserve">7.与本投标有关的正式通讯地址为：</w:t>
      </w:r>
      <w:r/>
    </w:p>
    <w:p>
      <w:pPr>
        <w:pStyle w:val="1153"/>
        <w:ind w:firstLine="478"/>
        <w:spacing w:before="0" w:after="0"/>
        <w:rPr>
          <w:rFonts w:ascii="宋体" w:hAnsi="宋体"/>
          <w:sz w:val="21"/>
          <w:szCs w:val="21"/>
        </w:rPr>
      </w:pPr>
      <w:r>
        <w:rPr>
          <w:rFonts w:ascii="宋体" w:hAnsi="宋体"/>
          <w:sz w:val="21"/>
          <w:szCs w:val="21"/>
        </w:rPr>
        <w:t xml:space="preserve">地 址：</w:t>
      </w:r>
      <w:r/>
    </w:p>
    <w:p>
      <w:pPr>
        <w:pStyle w:val="1153"/>
        <w:ind w:firstLine="478"/>
        <w:spacing w:before="0" w:after="0"/>
        <w:rPr>
          <w:rFonts w:ascii="宋体" w:hAnsi="宋体"/>
          <w:sz w:val="21"/>
          <w:szCs w:val="21"/>
        </w:rPr>
      </w:pPr>
      <w:r>
        <w:rPr>
          <w:rFonts w:ascii="宋体" w:hAnsi="宋体"/>
          <w:sz w:val="21"/>
          <w:szCs w:val="21"/>
        </w:rPr>
        <w:t xml:space="preserve">邮 编：</w:t>
      </w:r>
      <w:r/>
    </w:p>
    <w:p>
      <w:pPr>
        <w:pStyle w:val="1153"/>
        <w:ind w:firstLine="478"/>
        <w:spacing w:before="0" w:after="0"/>
        <w:rPr>
          <w:rFonts w:ascii="宋体" w:hAnsi="宋体"/>
          <w:sz w:val="21"/>
          <w:szCs w:val="21"/>
        </w:rPr>
      </w:pPr>
      <w:r>
        <w:rPr>
          <w:rFonts w:ascii="宋体" w:hAnsi="宋体"/>
          <w:sz w:val="21"/>
          <w:szCs w:val="21"/>
        </w:rPr>
        <w:t xml:space="preserve">电 话： </w:t>
      </w:r>
      <w:r/>
    </w:p>
    <w:p>
      <w:pPr>
        <w:pStyle w:val="1153"/>
        <w:ind w:firstLine="478"/>
        <w:spacing w:before="0" w:after="0"/>
        <w:rPr>
          <w:rFonts w:ascii="宋体" w:hAnsi="宋体"/>
          <w:sz w:val="21"/>
          <w:szCs w:val="21"/>
        </w:rPr>
      </w:pPr>
      <w:r>
        <w:rPr>
          <w:rFonts w:ascii="宋体" w:hAnsi="宋体"/>
          <w:sz w:val="21"/>
          <w:szCs w:val="21"/>
        </w:rPr>
        <w:t xml:space="preserve">传 真： </w:t>
      </w:r>
      <w:r/>
    </w:p>
    <w:p>
      <w:pPr>
        <w:pStyle w:val="1153"/>
        <w:ind w:firstLine="478"/>
        <w:spacing w:before="0" w:after="0"/>
        <w:rPr>
          <w:rFonts w:ascii="宋体" w:hAnsi="宋体"/>
          <w:sz w:val="21"/>
          <w:szCs w:val="21"/>
        </w:rPr>
      </w:pPr>
      <w:r>
        <w:rPr>
          <w:rFonts w:ascii="宋体" w:hAnsi="宋体"/>
          <w:sz w:val="21"/>
          <w:szCs w:val="21"/>
        </w:rPr>
        <w:t xml:space="preserve">投标人开户行：</w:t>
      </w:r>
      <w:r/>
    </w:p>
    <w:p>
      <w:pPr>
        <w:pStyle w:val="1153"/>
        <w:ind w:firstLine="478"/>
        <w:spacing w:before="0" w:after="0"/>
        <w:rPr>
          <w:rFonts w:ascii="宋体" w:hAnsi="宋体"/>
          <w:sz w:val="21"/>
          <w:szCs w:val="21"/>
        </w:rPr>
      </w:pPr>
      <w:r>
        <w:rPr>
          <w:rFonts w:ascii="宋体" w:hAnsi="宋体"/>
          <w:sz w:val="21"/>
          <w:szCs w:val="21"/>
        </w:rPr>
        <w:t xml:space="preserve">账 户： </w:t>
      </w:r>
      <w:r/>
    </w:p>
    <w:p>
      <w:pPr>
        <w:pStyle w:val="1153"/>
        <w:ind w:firstLine="478"/>
        <w:spacing w:before="0" w:after="0"/>
        <w:rPr>
          <w:rFonts w:ascii="宋体" w:hAnsi="宋体"/>
          <w:sz w:val="21"/>
          <w:szCs w:val="21"/>
        </w:rPr>
      </w:pPr>
      <w:r>
        <w:rPr>
          <w:rFonts w:ascii="宋体" w:hAnsi="宋体"/>
          <w:sz w:val="21"/>
          <w:szCs w:val="21"/>
        </w:rPr>
        <w:t xml:space="preserve">行 号：</w:t>
      </w:r>
      <w:r/>
    </w:p>
    <w:p>
      <w:pPr>
        <w:pStyle w:val="1153"/>
        <w:ind w:firstLine="478"/>
        <w:spacing w:before="0" w:after="0"/>
        <w:rPr>
          <w:rFonts w:ascii="宋体" w:hAnsi="宋体"/>
          <w:sz w:val="21"/>
          <w:szCs w:val="21"/>
        </w:rPr>
      </w:pPr>
      <w:r>
        <w:rPr>
          <w:rFonts w:ascii="宋体" w:hAnsi="宋体"/>
          <w:sz w:val="21"/>
          <w:szCs w:val="21"/>
        </w:rPr>
        <w:t xml:space="preserve">日 期：________年____月____日</w:t>
      </w:r>
      <w:r/>
    </w:p>
    <w:p>
      <w:pPr>
        <w:pStyle w:val="840"/>
        <w:contextualSpacing/>
        <w:spacing w:line="600" w:lineRule="exact"/>
        <w:rPr>
          <w:rFonts w:ascii="宋体" w:hAnsi="宋体"/>
          <w:b/>
          <w:bCs/>
          <w:color w:val="000000"/>
          <w:sz w:val="32"/>
          <w:szCs w:val="32"/>
        </w:rPr>
      </w:pPr>
      <w:r>
        <w:rPr>
          <w:rFonts w:ascii="宋体" w:hAnsi="宋体"/>
          <w:b/>
          <w:bCs/>
          <w:color w:val="000000"/>
          <w:sz w:val="32"/>
          <w:szCs w:val="32"/>
        </w:rPr>
      </w:r>
      <w:r/>
    </w:p>
    <w:p>
      <w:pPr>
        <w:pStyle w:val="840"/>
        <w:jc w:val="center"/>
        <w:rPr>
          <w:rFonts w:ascii="宋体" w:hAnsi="宋体"/>
          <w:b/>
          <w:szCs w:val="21"/>
        </w:rPr>
      </w:pPr>
      <w:r>
        <w:rPr>
          <w:rFonts w:ascii="宋体" w:hAnsi="宋体"/>
          <w:b/>
          <w:sz w:val="32"/>
          <w:szCs w:val="32"/>
        </w:rPr>
        <w:br w:type="page" w:clear="all"/>
      </w:r>
      <w:r>
        <w:rPr>
          <w:rFonts w:ascii="宋体" w:hAnsi="宋体"/>
          <w:b/>
          <w:szCs w:val="21"/>
        </w:rPr>
        <w:t xml:space="preserve">法人授权书</w:t>
      </w:r>
      <w:r/>
    </w:p>
    <w:p>
      <w:pPr>
        <w:pStyle w:val="1165"/>
        <w:ind w:firstLine="420"/>
        <w:spacing w:line="360" w:lineRule="auto"/>
        <w:rPr>
          <w:rFonts w:ascii="宋体" w:hAnsi="宋体"/>
          <w:sz w:val="21"/>
          <w:szCs w:val="21"/>
        </w:rPr>
      </w:pPr>
      <w:r>
        <w:rPr>
          <w:rFonts w:ascii="宋体" w:hAnsi="宋体"/>
          <w:sz w:val="21"/>
          <w:szCs w:val="21"/>
        </w:rPr>
        <w:t xml:space="preserve">本授权书声明：________________（投标人名称）授权________________（被授权人的姓名）为我方就</w:t>
      </w:r>
      <w:r>
        <w:rPr>
          <w:rFonts w:ascii="宋体" w:hAnsi="宋体"/>
          <w:color w:val="000000"/>
          <w:sz w:val="21"/>
          <w:szCs w:val="21"/>
        </w:rPr>
        <w:t xml:space="preserve">（项目编号）</w:t>
      </w:r>
      <w:r>
        <w:rPr>
          <w:rFonts w:ascii="宋体" w:hAnsi="宋体"/>
          <w:sz w:val="21"/>
          <w:szCs w:val="21"/>
        </w:rPr>
        <w:t xml:space="preserve">号（项目名称）项目采购活动的合法代理人，以本公司名义全权处理一切与该项目采购有关的事务。</w:t>
      </w:r>
      <w:r/>
    </w:p>
    <w:p>
      <w:pPr>
        <w:pStyle w:val="1165"/>
        <w:ind w:firstLine="420"/>
        <w:spacing w:line="360" w:lineRule="auto"/>
        <w:rPr>
          <w:rFonts w:ascii="宋体" w:hAnsi="宋体"/>
          <w:sz w:val="21"/>
          <w:szCs w:val="21"/>
        </w:rPr>
      </w:pPr>
      <w:r>
        <w:rPr>
          <w:rFonts w:ascii="宋体" w:hAnsi="宋体"/>
          <w:sz w:val="21"/>
          <w:szCs w:val="21"/>
        </w:rPr>
        <w:t xml:space="preserve">本授权书于______年____月____日起生效，特此声明。</w:t>
      </w:r>
      <w:r/>
    </w:p>
    <w:p>
      <w:pPr>
        <w:pStyle w:val="1165"/>
        <w:ind w:firstLine="0"/>
        <w:spacing w:line="360" w:lineRule="auto"/>
        <w:rPr>
          <w:rFonts w:ascii="宋体" w:hAnsi="宋体"/>
          <w:sz w:val="21"/>
          <w:szCs w:val="21"/>
        </w:rPr>
      </w:pPr>
      <w:r>
        <w:rPr>
          <w:rFonts w:ascii="宋体" w:hAnsi="宋体"/>
          <w:sz w:val="21"/>
          <w:szCs w:val="21"/>
        </w:rPr>
        <w:t xml:space="preserve">    </w:t>
      </w:r>
      <w:r/>
    </w:p>
    <w:p>
      <w:pPr>
        <w:pStyle w:val="1165"/>
        <w:ind w:firstLine="420"/>
        <w:spacing w:line="360" w:lineRule="auto"/>
        <w:rPr>
          <w:rFonts w:ascii="宋体" w:hAnsi="宋体"/>
          <w:sz w:val="21"/>
          <w:szCs w:val="21"/>
        </w:rPr>
      </w:pPr>
      <w:r>
        <w:rPr>
          <w:rFonts w:ascii="宋体" w:hAnsi="宋体"/>
          <w:sz w:val="21"/>
          <w:szCs w:val="21"/>
        </w:rPr>
        <w:t xml:space="preserve">被授权人姓名：_______________________     </w:t>
      </w:r>
      <w:r/>
    </w:p>
    <w:p>
      <w:pPr>
        <w:pStyle w:val="1165"/>
        <w:ind w:firstLine="420"/>
        <w:spacing w:line="360" w:lineRule="auto"/>
        <w:rPr>
          <w:rFonts w:ascii="宋体" w:hAnsi="宋体"/>
          <w:sz w:val="21"/>
          <w:szCs w:val="21"/>
          <w:u w:val="single"/>
        </w:rPr>
      </w:pPr>
      <w:r>
        <w:rPr>
          <w:rFonts w:ascii="宋体" w:hAnsi="宋体"/>
          <w:sz w:val="21"/>
          <w:szCs w:val="21"/>
        </w:rPr>
        <w:t xml:space="preserve">联系电话（手机）：</w:t>
      </w:r>
      <w:r>
        <w:rPr>
          <w:rFonts w:ascii="宋体" w:hAnsi="宋体"/>
          <w:sz w:val="21"/>
          <w:szCs w:val="21"/>
          <w:u w:val="single"/>
        </w:rPr>
        <w:t xml:space="preserve">                   </w:t>
      </w:r>
      <w:r/>
    </w:p>
    <w:p>
      <w:pPr>
        <w:pStyle w:val="1165"/>
        <w:ind w:firstLine="0"/>
        <w:spacing w:line="360" w:lineRule="auto"/>
        <w:rPr>
          <w:rFonts w:ascii="宋体" w:hAnsi="宋体"/>
          <w:sz w:val="21"/>
          <w:szCs w:val="21"/>
        </w:rPr>
      </w:pPr>
      <w:r>
        <w:rPr>
          <w:rFonts w:ascii="宋体" w:hAnsi="宋体"/>
          <w:sz w:val="21"/>
          <w:szCs w:val="21"/>
        </w:rPr>
        <w:t xml:space="preserve">    单位名称：___________________________</w:t>
      </w:r>
      <w:r/>
    </w:p>
    <w:p>
      <w:pPr>
        <w:pStyle w:val="1165"/>
        <w:ind w:firstLine="420"/>
        <w:spacing w:line="360" w:lineRule="auto"/>
        <w:rPr>
          <w:sz w:val="21"/>
          <w:szCs w:val="21"/>
          <w:u w:val="single"/>
        </w:rPr>
      </w:pPr>
      <w:r>
        <w:rPr>
          <w:sz w:val="21"/>
          <w:szCs w:val="21"/>
        </w:rPr>
        <w:t xml:space="preserve">单位地址：</w:t>
      </w:r>
      <w:r>
        <w:rPr>
          <w:sz w:val="21"/>
          <w:szCs w:val="21"/>
          <w:u w:val="single"/>
        </w:rPr>
        <w:t xml:space="preserve">                           </w:t>
      </w:r>
      <w:r/>
    </w:p>
    <w:p>
      <w:pPr>
        <w:pStyle w:val="1165"/>
        <w:ind w:firstLine="420"/>
        <w:spacing w:line="360" w:lineRule="auto"/>
        <w:rPr>
          <w:sz w:val="21"/>
          <w:szCs w:val="21"/>
        </w:rPr>
      </w:pPr>
      <w:r>
        <w:rPr>
          <w:sz w:val="21"/>
          <w:szCs w:val="21"/>
        </w:rPr>
        <w:t xml:space="preserve">日期：</w:t>
      </w:r>
      <w:r>
        <w:rPr>
          <w:sz w:val="21"/>
          <w:szCs w:val="21"/>
          <w:u w:val="single"/>
        </w:rPr>
        <w:t xml:space="preserve">                               </w:t>
      </w:r>
      <w:r>
        <w:rPr>
          <w:sz w:val="21"/>
          <w:szCs w:val="21"/>
        </w:rPr>
        <w:t xml:space="preserve"> </w:t>
      </w:r>
      <w:r/>
    </w:p>
    <w:p>
      <w:pPr>
        <w:pStyle w:val="840"/>
        <w:spacing w:line="460" w:lineRule="exact"/>
        <w:rPr>
          <w:rFonts w:ascii="宋体" w:hAnsi="宋体"/>
          <w:bCs/>
        </w:rPr>
      </w:pPr>
      <w:r>
        <w:rPr>
          <w:rFonts w:ascii="宋体" w:hAnsi="宋体"/>
          <w:bCs/>
        </w:rPr>
      </w:r>
      <w:r/>
    </w:p>
    <w:p>
      <w:pPr>
        <w:pStyle w:val="840"/>
        <w:spacing w:line="460" w:lineRule="exact"/>
        <w:rPr>
          <w:rFonts w:ascii="宋体" w:hAnsi="宋体"/>
          <w:bCs/>
          <w:sz w:val="24"/>
        </w:rPr>
      </w:pPr>
      <w:r>
        <w:rPr>
          <w:rFonts w:ascii="宋体" w:hAnsi="宋体"/>
          <w:bCs/>
          <w:sz w:val="24"/>
        </w:rPr>
      </w:r>
      <w:r/>
    </w:p>
    <w:p>
      <w:pPr>
        <w:pStyle w:val="840"/>
        <w:ind w:firstLine="420"/>
        <w:spacing w:line="460" w:lineRule="exact"/>
        <w:rPr>
          <w:rFonts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rPr>
        <w:t xml:space="preserve">被授权人身份证复印</w:t>
      </w:r>
      <w:r/>
    </w:p>
    <w:p>
      <w:pPr>
        <w:pStyle w:val="839"/>
        <w:numPr>
          <w:ilvl w:val="0"/>
          <w:numId w:val="0"/>
        </w:numPr>
        <w:jc w:val="center"/>
        <w:spacing w:before="260" w:after="260" w:line="416" w:lineRule="auto"/>
        <w:rPr>
          <w:rFonts w:ascii="宋体" w:hAnsi="宋体"/>
          <w:sz w:val="32"/>
          <w:szCs w:val="32"/>
        </w:rPr>
      </w:pPr>
      <w:r>
        <w:rPr>
          <w:rFonts w:ascii="宋体" w:hAnsi="宋体"/>
          <w:bCs w:val="0"/>
          <w:sz w:val="32"/>
          <w:szCs w:val="32"/>
        </w:rPr>
        <w:t xml:space="preserve">二、符合性审查响应对照表</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40"/>
              <w:jc w:val="center"/>
              <w:spacing w:line="240" w:lineRule="atLeast"/>
              <w:rPr>
                <w:rFonts w:ascii="宋体" w:hAnsi="宋体" w:cs="宋体"/>
                <w:b/>
                <w:szCs w:val="21"/>
              </w:rPr>
            </w:pPr>
            <w:r>
              <w:rPr>
                <w:rFonts w:hint="eastAsia" w:ascii="宋体" w:hAnsi="宋体" w:cs="宋体"/>
                <w:b/>
                <w:szCs w:val="21"/>
              </w:rPr>
              <w:t xml:space="preserve">序号</w:t>
            </w:r>
            <w:r/>
          </w:p>
        </w:tc>
        <w:tc>
          <w:tcPr>
            <w:tcW w:w="5111" w:type="dxa"/>
            <w:vAlign w:val="center"/>
            <w:textDirection w:val="lrTb"/>
            <w:noWrap w:val="false"/>
          </w:tcPr>
          <w:p>
            <w:pPr>
              <w:pStyle w:val="840"/>
              <w:jc w:val="center"/>
              <w:spacing w:line="240" w:lineRule="atLeast"/>
              <w:rPr>
                <w:rFonts w:ascii="宋体" w:hAnsi="宋体" w:cs="宋体"/>
                <w:b/>
                <w:szCs w:val="21"/>
              </w:rPr>
            </w:pPr>
            <w:r>
              <w:rPr>
                <w:rFonts w:hint="eastAsia" w:ascii="宋体" w:hAnsi="宋体" w:cs="宋体"/>
                <w:b/>
                <w:szCs w:val="21"/>
              </w:rPr>
              <w:t xml:space="preserve">符合性审查响应内容</w:t>
            </w:r>
            <w:r/>
          </w:p>
        </w:tc>
        <w:tc>
          <w:tcPr>
            <w:tcW w:w="1575" w:type="dxa"/>
            <w:vAlign w:val="center"/>
            <w:textDirection w:val="lrTb"/>
            <w:noWrap w:val="false"/>
          </w:tcPr>
          <w:p>
            <w:pPr>
              <w:pStyle w:val="840"/>
              <w:jc w:val="center"/>
              <w:spacing w:line="240" w:lineRule="atLeast"/>
              <w:rPr>
                <w:rFonts w:ascii="宋体" w:hAnsi="宋体" w:cs="宋体"/>
                <w:b/>
                <w:szCs w:val="21"/>
              </w:rPr>
            </w:pPr>
            <w:r>
              <w:rPr>
                <w:rFonts w:hint="eastAsia" w:ascii="宋体" w:hAnsi="宋体" w:cs="宋体"/>
                <w:b/>
                <w:szCs w:val="21"/>
              </w:rPr>
              <w:t xml:space="preserve">是否响应</w:t>
            </w:r>
            <w:r/>
          </w:p>
          <w:p>
            <w:pPr>
              <w:pStyle w:val="840"/>
              <w:jc w:val="center"/>
              <w:spacing w:line="240" w:lineRule="atLeast"/>
              <w:rPr>
                <w:rFonts w:ascii="宋体" w:hAnsi="宋体" w:cs="宋体"/>
                <w:b/>
                <w:szCs w:val="21"/>
              </w:rPr>
            </w:pPr>
            <w:r>
              <w:rPr>
                <w:rFonts w:hint="eastAsia" w:ascii="宋体" w:hAnsi="宋体" w:cs="宋体"/>
                <w:b/>
                <w:szCs w:val="21"/>
              </w:rPr>
              <w:t xml:space="preserve">（填是或者否）</w:t>
            </w:r>
            <w:r/>
          </w:p>
        </w:tc>
        <w:tc>
          <w:tcPr>
            <w:tcW w:w="1228" w:type="dxa"/>
            <w:vAlign w:val="center"/>
            <w:textDirection w:val="lrTb"/>
            <w:noWrap w:val="false"/>
          </w:tcPr>
          <w:p>
            <w:pPr>
              <w:pStyle w:val="840"/>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817"/>
        </w:trPr>
        <w:tc>
          <w:tcPr>
            <w:tcW w:w="605" w:type="dxa"/>
            <w:vAlign w:val="center"/>
            <w:textDirection w:val="lrTb"/>
            <w:noWrap w:val="false"/>
          </w:tcPr>
          <w:p>
            <w:pPr>
              <w:pStyle w:val="840"/>
              <w:jc w:val="center"/>
              <w:rPr>
                <w:rFonts w:ascii="宋体" w:hAnsi="宋体" w:cs="宋体"/>
                <w:b/>
                <w:szCs w:val="21"/>
              </w:rPr>
            </w:pPr>
            <w:r>
              <w:rPr>
                <w:rFonts w:hint="eastAsia" w:ascii="宋体" w:hAnsi="宋体" w:cs="宋体"/>
                <w:b/>
                <w:szCs w:val="21"/>
              </w:rPr>
              <w:t xml:space="preserve">1</w:t>
            </w:r>
            <w:r/>
          </w:p>
        </w:tc>
        <w:tc>
          <w:tcPr>
            <w:tcW w:w="5111" w:type="dxa"/>
            <w:vAlign w:val="center"/>
            <w:textDirection w:val="lrTb"/>
            <w:noWrap w:val="false"/>
          </w:tcPr>
          <w:p>
            <w:pPr>
              <w:pStyle w:val="840"/>
              <w:spacing w:line="0" w:lineRule="atLeast"/>
              <w:rPr>
                <w:rFonts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575" w:type="dxa"/>
            <w:vAlign w:val="center"/>
            <w:textDirection w:val="lrTb"/>
            <w:noWrap w:val="false"/>
          </w:tcPr>
          <w:p>
            <w:pPr>
              <w:pStyle w:val="840"/>
              <w:rPr>
                <w:rFonts w:ascii="宋体" w:hAnsi="宋体" w:cs="宋体"/>
                <w:b/>
                <w:szCs w:val="21"/>
              </w:rPr>
            </w:pPr>
            <w:r>
              <w:rPr>
                <w:rFonts w:ascii="宋体" w:hAnsi="宋体" w:cs="宋体"/>
                <w:b/>
                <w:szCs w:val="21"/>
              </w:rPr>
            </w:r>
            <w:r/>
          </w:p>
        </w:tc>
        <w:tc>
          <w:tcPr>
            <w:tcW w:w="1228" w:type="dxa"/>
            <w:vAlign w:val="center"/>
            <w:textDirection w:val="lrTb"/>
            <w:noWrap w:val="false"/>
          </w:tcPr>
          <w:p>
            <w:pPr>
              <w:pStyle w:val="840"/>
              <w:rPr>
                <w:rFonts w:ascii="宋体" w:hAnsi="宋体" w:cs="宋体"/>
                <w:b/>
                <w:szCs w:val="21"/>
              </w:rPr>
            </w:pPr>
            <w:r>
              <w:rPr>
                <w:rFonts w:ascii="宋体" w:hAnsi="宋体" w:cs="宋体"/>
                <w:b/>
                <w:szCs w:val="21"/>
              </w:rPr>
            </w:r>
            <w:r/>
          </w:p>
        </w:tc>
      </w:tr>
      <w:tr>
        <w:trPr>
          <w:trHeight w:val="817"/>
        </w:trPr>
        <w:tc>
          <w:tcPr>
            <w:tcW w:w="605"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2</w:t>
            </w:r>
            <w:r/>
          </w:p>
        </w:tc>
        <w:tc>
          <w:tcPr>
            <w:tcW w:w="5111" w:type="dxa"/>
            <w:vAlign w:val="center"/>
            <w:textDirection w:val="lrTb"/>
            <w:noWrap w:val="false"/>
          </w:tcPr>
          <w:p>
            <w:pPr>
              <w:pStyle w:val="840"/>
              <w:spacing w:line="0" w:lineRule="atLeast"/>
              <w:rPr>
                <w:rFonts w:ascii="宋体" w:hAnsi="宋体" w:cs="宋体"/>
                <w:iCs/>
                <w:szCs w:val="21"/>
              </w:rPr>
            </w:pPr>
            <w:r>
              <w:rPr>
                <w:rFonts w:ascii="宋体" w:hAnsi="宋体" w:cs="宋体"/>
                <w:iCs/>
                <w:szCs w:val="21"/>
              </w:rPr>
            </w:r>
            <w:r/>
          </w:p>
        </w:tc>
        <w:tc>
          <w:tcPr>
            <w:tcW w:w="1575" w:type="dxa"/>
            <w:vAlign w:val="center"/>
            <w:textDirection w:val="lrTb"/>
            <w:noWrap w:val="false"/>
          </w:tcPr>
          <w:p>
            <w:pPr>
              <w:pStyle w:val="840"/>
              <w:rPr>
                <w:rFonts w:ascii="宋体" w:hAnsi="宋体" w:cs="宋体"/>
                <w:szCs w:val="21"/>
              </w:rPr>
            </w:pPr>
            <w:r>
              <w:rPr>
                <w:rFonts w:ascii="宋体" w:hAnsi="宋体" w:cs="宋体"/>
                <w:szCs w:val="21"/>
              </w:rPr>
            </w:r>
            <w:r/>
          </w:p>
        </w:tc>
        <w:tc>
          <w:tcPr>
            <w:tcW w:w="122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817"/>
        </w:trPr>
        <w:tc>
          <w:tcPr>
            <w:tcW w:w="605"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3</w:t>
            </w:r>
            <w:r/>
          </w:p>
        </w:tc>
        <w:tc>
          <w:tcPr>
            <w:tcW w:w="5111" w:type="dxa"/>
            <w:vAlign w:val="center"/>
            <w:textDirection w:val="lrTb"/>
            <w:noWrap w:val="false"/>
          </w:tcPr>
          <w:p>
            <w:pPr>
              <w:pStyle w:val="840"/>
              <w:spacing w:line="0" w:lineRule="atLeast"/>
              <w:rPr>
                <w:rFonts w:ascii="宋体" w:hAnsi="宋体" w:cs="宋体"/>
                <w:iCs/>
                <w:szCs w:val="21"/>
              </w:rPr>
            </w:pPr>
            <w:r>
              <w:rPr>
                <w:rFonts w:ascii="宋体" w:hAnsi="宋体" w:cs="宋体"/>
                <w:iCs/>
                <w:szCs w:val="21"/>
              </w:rPr>
            </w:r>
            <w:r/>
          </w:p>
        </w:tc>
        <w:tc>
          <w:tcPr>
            <w:tcW w:w="1575" w:type="dxa"/>
            <w:vAlign w:val="center"/>
            <w:textDirection w:val="lrTb"/>
            <w:noWrap w:val="false"/>
          </w:tcPr>
          <w:p>
            <w:pPr>
              <w:pStyle w:val="840"/>
              <w:rPr>
                <w:rFonts w:ascii="宋体" w:hAnsi="宋体" w:cs="宋体"/>
                <w:szCs w:val="21"/>
              </w:rPr>
            </w:pPr>
            <w:r>
              <w:rPr>
                <w:rFonts w:ascii="宋体" w:hAnsi="宋体" w:cs="宋体"/>
                <w:szCs w:val="21"/>
              </w:rPr>
            </w:r>
            <w:r/>
          </w:p>
        </w:tc>
        <w:tc>
          <w:tcPr>
            <w:tcW w:w="122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817"/>
        </w:trPr>
        <w:tc>
          <w:tcPr>
            <w:tcW w:w="605"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4</w:t>
            </w:r>
            <w:r/>
          </w:p>
        </w:tc>
        <w:tc>
          <w:tcPr>
            <w:tcW w:w="5111" w:type="dxa"/>
            <w:vAlign w:val="center"/>
            <w:textDirection w:val="lrTb"/>
            <w:noWrap w:val="false"/>
          </w:tcPr>
          <w:p>
            <w:pPr>
              <w:pStyle w:val="840"/>
              <w:spacing w:line="0" w:lineRule="atLeast"/>
              <w:rPr>
                <w:rFonts w:ascii="宋体" w:hAnsi="宋体" w:cs="宋体"/>
                <w:iCs/>
                <w:szCs w:val="21"/>
              </w:rPr>
            </w:pPr>
            <w:r>
              <w:rPr>
                <w:rFonts w:ascii="宋体" w:hAnsi="宋体" w:cs="宋体"/>
                <w:iCs/>
                <w:szCs w:val="21"/>
              </w:rPr>
            </w:r>
            <w:r/>
          </w:p>
        </w:tc>
        <w:tc>
          <w:tcPr>
            <w:tcW w:w="1575" w:type="dxa"/>
            <w:vAlign w:val="center"/>
            <w:textDirection w:val="lrTb"/>
            <w:noWrap w:val="false"/>
          </w:tcPr>
          <w:p>
            <w:pPr>
              <w:pStyle w:val="840"/>
              <w:rPr>
                <w:rFonts w:ascii="宋体" w:hAnsi="宋体" w:cs="宋体"/>
                <w:szCs w:val="21"/>
              </w:rPr>
            </w:pPr>
            <w:r>
              <w:rPr>
                <w:rFonts w:ascii="宋体" w:hAnsi="宋体" w:cs="宋体"/>
                <w:szCs w:val="21"/>
              </w:rPr>
            </w:r>
            <w:r/>
          </w:p>
        </w:tc>
        <w:tc>
          <w:tcPr>
            <w:tcW w:w="1228" w:type="dxa"/>
            <w:vAlign w:val="center"/>
            <w:textDirection w:val="lrTb"/>
            <w:noWrap w:val="false"/>
          </w:tcPr>
          <w:p>
            <w:pPr>
              <w:pStyle w:val="840"/>
              <w:rPr>
                <w:rFonts w:ascii="宋体" w:hAnsi="宋体" w:cs="宋体"/>
                <w:szCs w:val="21"/>
              </w:rPr>
            </w:pPr>
            <w:r>
              <w:rPr>
                <w:rFonts w:ascii="宋体" w:hAnsi="宋体" w:cs="宋体"/>
                <w:szCs w:val="21"/>
              </w:rPr>
            </w:r>
            <w:r/>
          </w:p>
        </w:tc>
      </w:tr>
      <w:tr>
        <w:trPr>
          <w:trHeight w:val="817"/>
        </w:trPr>
        <w:tc>
          <w:tcPr>
            <w:tcW w:w="605" w:type="dxa"/>
            <w:vAlign w:val="center"/>
            <w:textDirection w:val="lrTb"/>
            <w:noWrap w:val="false"/>
          </w:tcPr>
          <w:p>
            <w:pPr>
              <w:pStyle w:val="840"/>
              <w:jc w:val="center"/>
              <w:rPr>
                <w:rFonts w:ascii="宋体" w:hAnsi="宋体" w:cs="宋体"/>
                <w:szCs w:val="21"/>
              </w:rPr>
            </w:pPr>
            <w:r>
              <w:rPr>
                <w:rFonts w:hint="eastAsia" w:ascii="宋体" w:hAnsi="宋体" w:cs="宋体"/>
                <w:szCs w:val="21"/>
              </w:rPr>
              <w:t xml:space="preserve">5</w:t>
            </w:r>
            <w:r/>
          </w:p>
        </w:tc>
        <w:tc>
          <w:tcPr>
            <w:tcW w:w="5111" w:type="dxa"/>
            <w:vAlign w:val="center"/>
            <w:textDirection w:val="lrTb"/>
            <w:noWrap w:val="false"/>
          </w:tcPr>
          <w:p>
            <w:pPr>
              <w:pStyle w:val="840"/>
              <w:spacing w:line="0" w:lineRule="atLeast"/>
              <w:rPr>
                <w:rFonts w:ascii="宋体" w:hAnsi="宋体" w:cs="宋体"/>
                <w:iCs/>
                <w:szCs w:val="21"/>
              </w:rPr>
            </w:pPr>
            <w:r>
              <w:rPr>
                <w:rFonts w:hint="eastAsia" w:ascii="宋体" w:hAnsi="宋体" w:cs="宋体"/>
                <w:iCs/>
                <w:szCs w:val="21"/>
              </w:rPr>
              <w:t xml:space="preserve">……</w:t>
            </w:r>
            <w:r/>
          </w:p>
        </w:tc>
        <w:tc>
          <w:tcPr>
            <w:tcW w:w="1575" w:type="dxa"/>
            <w:vAlign w:val="center"/>
            <w:textDirection w:val="lrTb"/>
            <w:noWrap w:val="false"/>
          </w:tcPr>
          <w:p>
            <w:pPr>
              <w:pStyle w:val="840"/>
              <w:rPr>
                <w:rFonts w:ascii="宋体" w:hAnsi="宋体" w:cs="宋体"/>
                <w:szCs w:val="21"/>
              </w:rPr>
            </w:pPr>
            <w:r>
              <w:rPr>
                <w:rFonts w:ascii="宋体" w:hAnsi="宋体" w:cs="宋体"/>
                <w:szCs w:val="21"/>
              </w:rPr>
            </w:r>
            <w:r/>
          </w:p>
        </w:tc>
        <w:tc>
          <w:tcPr>
            <w:tcW w:w="1228" w:type="dxa"/>
            <w:vAlign w:val="center"/>
            <w:textDirection w:val="lrTb"/>
            <w:noWrap w:val="false"/>
          </w:tcPr>
          <w:p>
            <w:pPr>
              <w:pStyle w:val="840"/>
              <w:rPr>
                <w:rFonts w:ascii="宋体" w:hAnsi="宋体" w:cs="宋体"/>
                <w:szCs w:val="21"/>
              </w:rPr>
            </w:pPr>
            <w:r>
              <w:rPr>
                <w:rFonts w:ascii="宋体" w:hAnsi="宋体" w:cs="宋体"/>
                <w:szCs w:val="21"/>
              </w:rPr>
            </w:r>
            <w:r/>
          </w:p>
        </w:tc>
      </w:tr>
    </w:tbl>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9"/>
        <w:numPr>
          <w:ilvl w:val="0"/>
          <w:numId w:val="0"/>
        </w:numPr>
        <w:jc w:val="center"/>
        <w:spacing w:before="260" w:after="260" w:line="416" w:lineRule="auto"/>
        <w:rPr>
          <w:rFonts w:ascii="宋体" w:hAnsi="宋体"/>
          <w:bCs w:val="0"/>
          <w:sz w:val="32"/>
          <w:szCs w:val="32"/>
        </w:rPr>
      </w:pPr>
      <w:r>
        <w:rPr>
          <w:rFonts w:ascii="宋体" w:hAnsi="宋体"/>
          <w:bCs w:val="0"/>
          <w:sz w:val="32"/>
          <w:szCs w:val="32"/>
        </w:rPr>
        <w:t xml:space="preserve">三、非实质性响应对照表</w:t>
      </w:r>
      <w:r/>
    </w:p>
    <w:p>
      <w:pPr>
        <w:pStyle w:val="840"/>
        <w:rPr>
          <w:rFonts w:ascii="宋体" w:hAnsi="宋体"/>
          <w:b/>
          <w:sz w:val="32"/>
          <w:szCs w:val="32"/>
        </w:rPr>
      </w:pPr>
      <w:r>
        <w:rPr>
          <w:rFonts w:ascii="宋体" w:hAnsi="宋体"/>
          <w:b/>
          <w:sz w:val="32"/>
          <w:szCs w:val="32"/>
        </w:rPr>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40"/>
              <w:jc w:val="center"/>
              <w:spacing w:line="240" w:lineRule="atLeast"/>
              <w:rPr>
                <w:rFonts w:ascii="幼圆" w:eastAsia="幼圆"/>
                <w:b/>
                <w:szCs w:val="21"/>
              </w:rPr>
            </w:pPr>
            <w:r>
              <w:rPr>
                <w:rFonts w:ascii="宋体" w:hAnsi="宋体"/>
                <w:b/>
                <w:szCs w:val="21"/>
              </w:rPr>
              <w:t xml:space="preserve">序号</w:t>
            </w:r>
            <w:r/>
          </w:p>
        </w:tc>
        <w:tc>
          <w:tcPr>
            <w:tcW w:w="5111" w:type="dxa"/>
            <w:vAlign w:val="center"/>
            <w:textDirection w:val="lrTb"/>
            <w:noWrap w:val="false"/>
          </w:tcPr>
          <w:p>
            <w:pPr>
              <w:pStyle w:val="840"/>
              <w:jc w:val="center"/>
              <w:spacing w:line="240" w:lineRule="atLeast"/>
              <w:rPr>
                <w:rFonts w:ascii="幼圆" w:eastAsia="幼圆"/>
                <w:b/>
                <w:szCs w:val="21"/>
              </w:rPr>
            </w:pPr>
            <w:r>
              <w:rPr>
                <w:rFonts w:ascii="宋体" w:hAnsi="宋体"/>
                <w:b/>
                <w:szCs w:val="21"/>
              </w:rPr>
              <w:t xml:space="preserve">非实质性响应内容</w:t>
            </w:r>
            <w:r/>
          </w:p>
        </w:tc>
        <w:tc>
          <w:tcPr>
            <w:tcW w:w="1575" w:type="dxa"/>
            <w:vAlign w:val="center"/>
            <w:textDirection w:val="lrTb"/>
            <w:noWrap w:val="false"/>
          </w:tcPr>
          <w:p>
            <w:pPr>
              <w:pStyle w:val="840"/>
              <w:jc w:val="center"/>
              <w:spacing w:line="240" w:lineRule="atLeast"/>
              <w:rPr>
                <w:rFonts w:ascii="宋体" w:hAnsi="宋体"/>
                <w:b/>
                <w:szCs w:val="21"/>
              </w:rPr>
            </w:pPr>
            <w:r>
              <w:rPr>
                <w:rFonts w:ascii="宋体" w:hAnsi="宋体"/>
                <w:b/>
                <w:szCs w:val="21"/>
              </w:rPr>
              <w:t xml:space="preserve">是否响应</w:t>
            </w:r>
            <w:r/>
          </w:p>
          <w:p>
            <w:pPr>
              <w:pStyle w:val="840"/>
              <w:jc w:val="center"/>
              <w:spacing w:line="240" w:lineRule="atLeast"/>
              <w:rPr>
                <w:rFonts w:ascii="幼圆" w:eastAsia="幼圆"/>
                <w:b/>
                <w:szCs w:val="21"/>
              </w:rPr>
            </w:pPr>
            <w:r>
              <w:rPr>
                <w:rFonts w:ascii="宋体" w:hAnsi="宋体"/>
                <w:b/>
                <w:szCs w:val="21"/>
              </w:rPr>
              <w:t xml:space="preserve">（填是或者否）</w:t>
            </w:r>
            <w:r/>
          </w:p>
        </w:tc>
        <w:tc>
          <w:tcPr>
            <w:tcW w:w="1228" w:type="dxa"/>
            <w:vAlign w:val="center"/>
            <w:textDirection w:val="lrTb"/>
            <w:noWrap w:val="false"/>
          </w:tcPr>
          <w:p>
            <w:pPr>
              <w:pStyle w:val="840"/>
              <w:jc w:val="center"/>
              <w:spacing w:line="240" w:lineRule="atLeast"/>
              <w:rPr>
                <w:rFonts w:ascii="宋体" w:hAnsi="宋体"/>
                <w:b/>
                <w:szCs w:val="21"/>
              </w:rPr>
            </w:pPr>
            <w:r>
              <w:rPr>
                <w:rFonts w:ascii="宋体" w:hAnsi="宋体"/>
                <w:b/>
                <w:szCs w:val="21"/>
              </w:rPr>
              <w:t xml:space="preserve">响应情况</w:t>
            </w:r>
            <w:r/>
          </w:p>
        </w:tc>
      </w:tr>
      <w:tr>
        <w:trPr>
          <w:trHeight w:val="817"/>
        </w:trPr>
        <w:tc>
          <w:tcPr>
            <w:tcW w:w="605" w:type="dxa"/>
            <w:vAlign w:val="center"/>
            <w:textDirection w:val="lrTb"/>
            <w:noWrap w:val="false"/>
          </w:tcPr>
          <w:p>
            <w:pPr>
              <w:pStyle w:val="840"/>
              <w:jc w:val="center"/>
              <w:rPr>
                <w:rFonts w:ascii="宋体" w:hAnsi="宋体"/>
                <w:b/>
                <w:szCs w:val="21"/>
              </w:rPr>
            </w:pPr>
            <w:r>
              <w:rPr>
                <w:rFonts w:ascii="宋体" w:hAnsi="宋体"/>
                <w:b/>
                <w:szCs w:val="21"/>
              </w:rPr>
              <w:t xml:space="preserve">1</w:t>
            </w:r>
            <w:r/>
          </w:p>
        </w:tc>
        <w:tc>
          <w:tcPr>
            <w:tcW w:w="5111" w:type="dxa"/>
            <w:vAlign w:val="center"/>
            <w:textDirection w:val="lrTb"/>
            <w:noWrap w:val="false"/>
          </w:tcPr>
          <w:p>
            <w:pPr>
              <w:pStyle w:val="840"/>
              <w:spacing w:line="0" w:lineRule="atLeast"/>
              <w:rPr>
                <w:rFonts w:ascii="宋体" w:hAnsi="宋体"/>
                <w:iCs/>
                <w:szCs w:val="21"/>
              </w:rPr>
            </w:pPr>
            <w:r>
              <w:rPr>
                <w:rFonts w:ascii="宋体" w:hAnsi="宋体"/>
                <w:szCs w:val="21"/>
              </w:rPr>
              <w:t xml:space="preserve">《企业声明函》</w:t>
            </w:r>
            <w:r/>
          </w:p>
        </w:tc>
        <w:tc>
          <w:tcPr>
            <w:tcW w:w="1575" w:type="dxa"/>
            <w:vAlign w:val="center"/>
            <w:textDirection w:val="lrTb"/>
            <w:noWrap w:val="false"/>
          </w:tcPr>
          <w:p>
            <w:pPr>
              <w:pStyle w:val="840"/>
              <w:rPr>
                <w:rFonts w:ascii="宋体" w:hAnsi="宋体"/>
                <w:b/>
                <w:szCs w:val="21"/>
              </w:rPr>
            </w:pPr>
            <w:r>
              <w:rPr>
                <w:rFonts w:ascii="宋体" w:hAnsi="宋体"/>
                <w:b/>
                <w:szCs w:val="21"/>
              </w:rPr>
            </w:r>
            <w:r/>
          </w:p>
        </w:tc>
        <w:tc>
          <w:tcPr>
            <w:tcW w:w="1228" w:type="dxa"/>
            <w:vAlign w:val="center"/>
            <w:textDirection w:val="lrTb"/>
            <w:noWrap w:val="false"/>
          </w:tcPr>
          <w:p>
            <w:pPr>
              <w:pStyle w:val="840"/>
              <w:rPr>
                <w:rFonts w:ascii="宋体" w:hAnsi="宋体"/>
                <w:b/>
                <w:szCs w:val="21"/>
              </w:rPr>
            </w:pPr>
            <w:r>
              <w:rPr>
                <w:rFonts w:ascii="宋体" w:hAnsi="宋体"/>
                <w:b/>
                <w:szCs w:val="21"/>
              </w:rPr>
            </w:r>
            <w:r/>
          </w:p>
        </w:tc>
      </w:tr>
      <w:tr>
        <w:trPr>
          <w:trHeight w:val="817"/>
        </w:trPr>
        <w:tc>
          <w:tcPr>
            <w:tcW w:w="605" w:type="dxa"/>
            <w:vAlign w:val="center"/>
            <w:textDirection w:val="lrTb"/>
            <w:noWrap w:val="false"/>
          </w:tcPr>
          <w:p>
            <w:pPr>
              <w:pStyle w:val="840"/>
              <w:jc w:val="center"/>
              <w:rPr>
                <w:rFonts w:ascii="宋体" w:hAnsi="宋体"/>
                <w:szCs w:val="21"/>
              </w:rPr>
            </w:pPr>
            <w:r>
              <w:rPr>
                <w:rFonts w:ascii="宋体" w:hAnsi="宋体"/>
                <w:szCs w:val="21"/>
              </w:rPr>
              <w:t xml:space="preserve">2</w:t>
            </w:r>
            <w:r/>
          </w:p>
        </w:tc>
        <w:tc>
          <w:tcPr>
            <w:tcW w:w="5111" w:type="dxa"/>
            <w:vAlign w:val="center"/>
            <w:textDirection w:val="lrTb"/>
            <w:noWrap w:val="false"/>
          </w:tcPr>
          <w:p>
            <w:pPr>
              <w:pStyle w:val="840"/>
              <w:spacing w:line="0" w:lineRule="atLeast"/>
              <w:rPr>
                <w:rFonts w:ascii="宋体" w:hAnsi="宋体"/>
                <w:iCs/>
                <w:szCs w:val="21"/>
              </w:rPr>
            </w:pPr>
            <w:r>
              <w:rPr>
                <w:rFonts w:ascii="宋体" w:hAnsi="宋体"/>
                <w:szCs w:val="21"/>
              </w:rPr>
              <w:t xml:space="preserve">《残疾人福利性单位声明函》</w:t>
            </w:r>
            <w:r/>
          </w:p>
        </w:tc>
        <w:tc>
          <w:tcPr>
            <w:tcW w:w="1575" w:type="dxa"/>
            <w:vAlign w:val="center"/>
            <w:textDirection w:val="lrTb"/>
            <w:noWrap w:val="false"/>
          </w:tcPr>
          <w:p>
            <w:pPr>
              <w:pStyle w:val="840"/>
              <w:rPr>
                <w:rFonts w:ascii="宋体" w:hAnsi="宋体"/>
                <w:szCs w:val="21"/>
              </w:rPr>
            </w:pPr>
            <w:r>
              <w:rPr>
                <w:rFonts w:ascii="宋体" w:hAnsi="宋体"/>
                <w:szCs w:val="21"/>
              </w:rPr>
            </w:r>
            <w:r/>
          </w:p>
        </w:tc>
        <w:tc>
          <w:tcPr>
            <w:tcW w:w="1228" w:type="dxa"/>
            <w:vAlign w:val="center"/>
            <w:textDirection w:val="lrTb"/>
            <w:noWrap w:val="false"/>
          </w:tcPr>
          <w:p>
            <w:pPr>
              <w:pStyle w:val="840"/>
              <w:rPr>
                <w:rFonts w:ascii="宋体" w:hAnsi="宋体"/>
                <w:szCs w:val="21"/>
              </w:rPr>
            </w:pPr>
            <w:r>
              <w:rPr>
                <w:rFonts w:ascii="宋体" w:hAnsi="宋体"/>
                <w:szCs w:val="21"/>
              </w:rPr>
            </w:r>
            <w:r/>
          </w:p>
        </w:tc>
      </w:tr>
      <w:tr>
        <w:trPr>
          <w:trHeight w:val="817"/>
        </w:trPr>
        <w:tc>
          <w:tcPr>
            <w:tcW w:w="605" w:type="dxa"/>
            <w:vAlign w:val="center"/>
            <w:textDirection w:val="lrTb"/>
            <w:noWrap w:val="false"/>
          </w:tcPr>
          <w:p>
            <w:pPr>
              <w:pStyle w:val="840"/>
              <w:jc w:val="center"/>
              <w:rPr>
                <w:rFonts w:ascii="宋体" w:hAnsi="宋体"/>
                <w:szCs w:val="21"/>
              </w:rPr>
            </w:pPr>
            <w:r>
              <w:rPr>
                <w:rFonts w:ascii="宋体" w:hAnsi="宋体"/>
                <w:szCs w:val="21"/>
              </w:rPr>
              <w:t xml:space="preserve">3</w:t>
            </w:r>
            <w:r/>
          </w:p>
        </w:tc>
        <w:tc>
          <w:tcPr>
            <w:tcW w:w="5111" w:type="dxa"/>
            <w:vAlign w:val="center"/>
            <w:textDirection w:val="lrTb"/>
            <w:noWrap w:val="false"/>
          </w:tcPr>
          <w:p>
            <w:pPr>
              <w:pStyle w:val="840"/>
              <w:spacing w:line="0" w:lineRule="atLeast"/>
              <w:rPr>
                <w:rFonts w:ascii="宋体" w:hAnsi="宋体"/>
                <w:iCs/>
                <w:szCs w:val="21"/>
              </w:rPr>
            </w:pPr>
            <w:r>
              <w:rPr>
                <w:rFonts w:ascii="宋体" w:hAnsi="宋体"/>
                <w:iCs/>
                <w:szCs w:val="21"/>
              </w:rPr>
              <w:t xml:space="preserve">……</w:t>
            </w:r>
            <w:r/>
          </w:p>
        </w:tc>
        <w:tc>
          <w:tcPr>
            <w:tcW w:w="1575" w:type="dxa"/>
            <w:vAlign w:val="center"/>
            <w:textDirection w:val="lrTb"/>
            <w:noWrap w:val="false"/>
          </w:tcPr>
          <w:p>
            <w:pPr>
              <w:pStyle w:val="840"/>
              <w:rPr>
                <w:rFonts w:ascii="宋体" w:hAnsi="宋体"/>
                <w:szCs w:val="21"/>
              </w:rPr>
            </w:pPr>
            <w:r>
              <w:rPr>
                <w:rFonts w:ascii="宋体" w:hAnsi="宋体"/>
                <w:szCs w:val="21"/>
              </w:rPr>
            </w:r>
            <w:r/>
          </w:p>
        </w:tc>
        <w:tc>
          <w:tcPr>
            <w:tcW w:w="1228" w:type="dxa"/>
            <w:vAlign w:val="center"/>
            <w:textDirection w:val="lrTb"/>
            <w:noWrap w:val="false"/>
          </w:tcPr>
          <w:p>
            <w:pPr>
              <w:pStyle w:val="840"/>
              <w:rPr>
                <w:rFonts w:ascii="宋体" w:hAnsi="宋体"/>
                <w:szCs w:val="21"/>
              </w:rPr>
            </w:pPr>
            <w:r>
              <w:rPr>
                <w:rFonts w:ascii="宋体" w:hAnsi="宋体"/>
                <w:szCs w:val="21"/>
              </w:rPr>
            </w:r>
            <w:r/>
          </w:p>
        </w:tc>
      </w:tr>
    </w:tbl>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40"/>
      </w:p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center"/>
        <w:spacing w:before="312" w:after="312" w:line="360" w:lineRule="auto"/>
        <w:rPr>
          <w:b/>
          <w:bCs/>
          <w:highlight w:val="yellow"/>
        </w:rPr>
      </w:pPr>
      <w:r>
        <w:rPr>
          <w:b/>
          <w:bCs/>
          <w:highlight w:val="yellow"/>
        </w:rPr>
      </w:r>
      <w:r/>
    </w:p>
    <w:p>
      <w:r>
        <w:rPr>
          <w:highlight w:val="yellow"/>
        </w:rPr>
        <w:br w:type="page" w:clear="all"/>
      </w:r>
      <w:r>
        <w:rPr>
          <w:rFonts w:hint="eastAsia"/>
        </w:rPr>
        <w:t xml:space="preserve">中小企业声明函（货物）</w:t>
      </w:r>
      <w:r/>
    </w:p>
    <w:p>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r>
        <w:rPr>
          <w:rFonts w:hint="eastAsia"/>
        </w:rPr>
        <w:t xml:space="preserve">1. （标的名称） ，属于</w:t>
      </w:r>
      <w:r>
        <w:rPr>
          <w:rFonts w:hint="eastAsia"/>
          <w:b/>
          <w:bCs/>
        </w:rPr>
        <w:t xml:space="preserve">（工业）</w:t>
      </w:r>
      <w:r>
        <w:rPr>
          <w:rFonts w:hint="eastAsia"/>
        </w:rPr>
        <w:t xml:space="preserve">行业（不得对行业类别修改）；制造商为（企业名称），从业人员       人，营业收入为        万元，资产总额为        万元</w:t>
      </w:r>
      <w:r>
        <w:fldChar w:fldCharType="begin"/>
      </w:r>
      <w:r>
        <w:instrText xml:space="preserve"> HYPERLINK \l "br1" \o "#br1" </w:instrText>
      </w:r>
      <w:r>
        <w:fldChar w:fldCharType="separate"/>
      </w:r>
      <w:r>
        <w:rPr>
          <w:rFonts w:hint="eastAsia"/>
          <w:spacing w:val="-1"/>
          <w:vertAlign w:val="superscript"/>
        </w:rPr>
        <w:t xml:space="preserve">1</w:t>
      </w:r>
      <w:r>
        <w:rPr>
          <w:rFonts w:hint="eastAsia"/>
          <w:spacing w:val="-1"/>
          <w:vertAlign w:val="superscript"/>
        </w:rPr>
        <w:fldChar w:fldCharType="end"/>
      </w:r>
      <w:r>
        <w:rPr>
          <w:rFonts w:hint="eastAsia"/>
        </w:rPr>
        <w:t xml:space="preserve">，属于（□中型企业 □小型企业 □微型企业）；</w:t>
      </w:r>
      <w:r/>
    </w:p>
    <w:p>
      <w:r>
        <w:rPr>
          <w:rFonts w:hint="eastAsia"/>
        </w:rPr>
        <w:t xml:space="preserve">2. （标的名称） ，属于</w:t>
      </w:r>
      <w:r>
        <w:rPr>
          <w:rFonts w:hint="eastAsia"/>
          <w:b/>
          <w:bCs/>
        </w:rPr>
        <w:t xml:space="preserve">（工业）</w:t>
      </w:r>
      <w:r>
        <w:rPr>
          <w:rFonts w:hint="eastAsia"/>
        </w:rPr>
        <w:t xml:space="preserve">行业（不得对行业类别修改）；制造商为（企业名称），从业人员       人，营业收入为        万元，资产总额为        万元，属于（□中型企业 □小型企业 □微型企业）；</w:t>
      </w:r>
      <w:r/>
    </w:p>
    <w:p>
      <w:r>
        <w:rPr>
          <w:rFonts w:hint="eastAsia"/>
        </w:rPr>
        <w:t xml:space="preserve">……</w:t>
      </w:r>
      <w:r/>
    </w:p>
    <w:p>
      <w:r>
        <w:rPr>
          <w:rFonts w:hint="eastAsia"/>
        </w:rPr>
        <w:t xml:space="preserve">以上企业，不属于大企业的分支机构，不存在控股股东为大企业的情形，也不存在与大企业的负责人为同一人的情形。</w:t>
      </w:r>
      <w:r/>
    </w:p>
    <w:p>
      <w:r>
        <w:rPr>
          <w:rFonts w:hint="eastAsia"/>
        </w:rPr>
        <w:t xml:space="preserve">本企业对上述声明内容的真实性负责。如有虚假，将依法承担相应责任。</w:t>
      </w:r>
      <w:r/>
    </w:p>
    <w:p>
      <w:r/>
      <w:r/>
    </w:p>
    <w:p>
      <w:r>
        <w:rPr>
          <w:rFonts w:hint="eastAsia"/>
        </w:rPr>
        <w:t xml:space="preserve">注： 1、从业人员（不仅指在职职工）、营业收入、资产总额填报上一年度数据，无上一年度数据的新成立企业可不填报。</w:t>
      </w:r>
      <w:r/>
    </w:p>
    <w:p>
      <w:pPr>
        <w:rPr>
          <w:rFonts w:ascii="宋体" w:hAnsi="宋体"/>
        </w:rPr>
      </w:pPr>
      <w:r>
        <w:rPr>
          <w:rFonts w:hint="eastAsia" w:ascii="宋体" w:hAnsi="宋体"/>
        </w:rPr>
        <w:t xml:space="preserve">2、</w:t>
      </w:r>
      <w:r>
        <w:rPr>
          <w:rFonts w:hint="eastAsia"/>
        </w:rPr>
        <w:t xml:space="preserve">《中小企业声明函》不符合要求或未提供的，作如下处理：①如本项目专门面向中小企业采购，则投标（响应）文件无效；②如本项目不专门面向中小企业采购，则价格将不做相应扣除。</w:t>
      </w:r>
      <w:r/>
    </w:p>
    <w:p>
      <w:r>
        <w:rPr>
          <w:rFonts w:hint="eastAsia"/>
        </w:rPr>
        <w:t xml:space="preserve">    3、企业声明函请完整填写，中标后将公示。</w:t>
      </w:r>
      <w:r/>
    </w:p>
    <w:p>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r>
        <w:rPr>
          <w:rFonts w:hint="eastAsia"/>
        </w:rPr>
        <w:t xml:space="preserve">5、声明函应涵盖本项目(分包)所有货物，否则价格不作扣除。</w:t>
      </w:r>
      <w:r/>
    </w:p>
    <w:p>
      <w:r>
        <w:rPr>
          <w:rFonts w:hint="eastAsia"/>
        </w:rPr>
        <w:t xml:space="preserve">6、中小企业不得属于大企业的分支机构，不得存在控股股东为大企业的情形，不得存在与大企业的负责人为同一人的情形。</w:t>
      </w:r>
      <w:r/>
    </w:p>
    <w:p>
      <w:r>
        <w:rPr>
          <w:rFonts w:hint="eastAsia"/>
        </w:rPr>
        <w:t xml:space="preserve">7、</w:t>
      </w:r>
      <w:r>
        <w:rPr>
          <w:rFonts w:hint="eastAsia"/>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40"/>
        <w:ind w:firstLine="4620"/>
        <w:jc w:val="left"/>
        <w:spacing w:line="360" w:lineRule="auto"/>
      </w:pPr>
      <w:r>
        <w:t xml:space="preserve">企业名称（盖章）：</w:t>
      </w:r>
      <w:r/>
    </w:p>
    <w:p>
      <w:pPr>
        <w:pStyle w:val="840"/>
        <w:ind w:firstLine="4620"/>
        <w:jc w:val="left"/>
        <w:spacing w:line="360" w:lineRule="auto"/>
      </w:pPr>
      <w:r>
        <w:t xml:space="preserve">日 期：</w:t>
      </w:r>
      <w:r/>
    </w:p>
    <w:p>
      <w:pPr>
        <w:pStyle w:val="839"/>
        <w:numPr>
          <w:ilvl w:val="0"/>
          <w:numId w:val="0"/>
        </w:numPr>
        <w:jc w:val="center"/>
        <w:spacing w:before="300" w:after="300" w:line="360" w:lineRule="auto"/>
        <w:widowControl/>
        <w:rPr>
          <w:rFonts w:ascii="宋体" w:hAnsi="宋体"/>
          <w:color w:val="666666"/>
          <w:sz w:val="21"/>
          <w:szCs w:val="21"/>
        </w:rPr>
      </w:pPr>
      <w:r>
        <w:rPr>
          <w:rFonts w:ascii="宋体" w:hAnsi="宋体"/>
          <w:bCs w:val="0"/>
          <w:color w:val="333333"/>
          <w:sz w:val="21"/>
          <w:szCs w:val="21"/>
        </w:rPr>
        <w:t xml:space="preserve">中小微企业划型标准</w:t>
      </w:r>
      <w:r/>
    </w:p>
    <w:p>
      <w:pPr>
        <w:pStyle w:val="1060"/>
        <w:ind w:firstLine="420"/>
        <w:spacing w:before="300" w:after="452" w:line="360" w:lineRule="auto"/>
        <w:widowControl/>
        <w:rPr>
          <w:rFonts w:ascii="宋体" w:hAnsi="宋体"/>
          <w:color w:val="666666"/>
          <w:sz w:val="21"/>
          <w:szCs w:val="21"/>
        </w:rPr>
      </w:pPr>
      <w:r>
        <w:rPr>
          <w:rStyle w:val="1066"/>
          <w:rFonts w:ascii="宋体" w:hAnsi="宋体"/>
          <w:color w:val="666666"/>
          <w:sz w:val="21"/>
          <w:szCs w:val="21"/>
        </w:rPr>
        <w:t xml:space="preserve">中小微企业划型标准如下：</w:t>
      </w:r>
      <w:r/>
    </w:p>
    <w:tbl>
      <w:tblPr>
        <w:tblStyle w:val="799"/>
        <w:tblW w:w="5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5" w:type="dxa"/>
          <w:top w:w="0" w:type="dxa"/>
          <w:right w:w="105" w:type="dxa"/>
          <w:bottom w:w="0" w:type="dxa"/>
        </w:tblCellMar>
        <w:tblLook w:val="04A0" w:firstRow="1" w:lastRow="0" w:firstColumn="1" w:lastColumn="0" w:noHBand="0" w:noVBand="1"/>
      </w:tblPr>
      <w:tblGrid>
        <w:gridCol w:w="1507"/>
        <w:gridCol w:w="1813"/>
        <w:gridCol w:w="526"/>
        <w:gridCol w:w="2177"/>
        <w:gridCol w:w="1781"/>
        <w:gridCol w:w="1564"/>
      </w:tblGrid>
      <w:tr>
        <w:trPr>
          <w:jc w:val="center"/>
          <w:trHeight w:val="285"/>
        </w:trPr>
        <w:tc>
          <w:tcPr>
            <w:tcMar>
              <w:left w:w="105" w:type="dxa"/>
              <w:top w:w="0" w:type="dxa"/>
              <w:right w:w="105" w:type="dxa"/>
              <w:bottom w:w="0" w:type="dxa"/>
            </w:tcMar>
            <w:tcW w:w="1507"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行业名称</w:t>
            </w:r>
            <w:r/>
          </w:p>
        </w:tc>
        <w:tc>
          <w:tcPr>
            <w:tcMar>
              <w:left w:w="105" w:type="dxa"/>
              <w:top w:w="0" w:type="dxa"/>
              <w:right w:w="105" w:type="dxa"/>
              <w:bottom w:w="0" w:type="dxa"/>
            </w:tcMar>
            <w:tcW w:w="1813"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指标名称</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计量单位</w:t>
            </w:r>
            <w:r/>
          </w:p>
        </w:tc>
        <w:tc>
          <w:tcPr>
            <w:tcMar>
              <w:left w:w="105" w:type="dxa"/>
              <w:top w:w="0" w:type="dxa"/>
              <w:right w:w="105" w:type="dxa"/>
              <w:bottom w:w="0" w:type="dxa"/>
            </w:tcMar>
            <w:tcW w:w="2177"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中型</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小型</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微型</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农、林、牧、渔</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50≤Y＜500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工业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2000≤Y＜40000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300≤Y＜2000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建筑业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6000≤Y＜80000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300≤Y＜6000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Y＜300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5000≤Z＜80000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300≤Z＜5000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Z＜300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批发业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20≤X＜200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5≤X＜20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X＜5</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5000≤Y＜40000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1000≤Y＜5000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Y＜1000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零售业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50≤X＜300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10≤X＜50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100≤Y＜500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交通运输业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3000≤Y＜30000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200≤Y＜3000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Y＜200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仓储业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100≤X＜200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20≤X＜100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1000≤Y＜30000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邮政业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2000≤Y＜30000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住宿业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餐饮业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信息传输业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100≤X＜2000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1000≤Y＜100000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软件和信息技术服务业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1000≤Y＜10000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50≤Y＜1000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房地产开发经营</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1000≤Y＜200000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100≤X＜1000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5000≤Z＜10000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2000≤Y＜5000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Y＜2000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物业管理</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1000≤Y＜5000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500≤Y＜1000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Y＜500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租赁和商务服务业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8000≤Z＜120000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100≤Z＜8000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其他未列明行业</w:t>
            </w:r>
            <w:r/>
          </w:p>
        </w:tc>
        <w:tc>
          <w:tcPr>
            <w:tcMar>
              <w:left w:w="105" w:type="dxa"/>
              <w:top w:w="0" w:type="dxa"/>
              <w:right w:w="105" w:type="dxa"/>
              <w:bottom w:w="0" w:type="dxa"/>
            </w:tcMar>
            <w:tcW w:w="1813"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ascii="宋体" w:hAnsi="宋体"/>
                <w:color w:val="666666"/>
                <w:sz w:val="21"/>
                <w:szCs w:val="21"/>
              </w:rPr>
            </w:pPr>
            <w:r>
              <w:rPr>
                <w:rStyle w:val="1066"/>
                <w:rFonts w:ascii="宋体" w:hAnsi="宋体"/>
                <w:color w:val="666666"/>
                <w:sz w:val="21"/>
                <w:szCs w:val="21"/>
              </w:rPr>
              <w:t xml:space="preserve">X＜10</w:t>
            </w:r>
            <w:r/>
          </w:p>
        </w:tc>
      </w:tr>
    </w:tbl>
    <w:p>
      <w:pPr>
        <w:pStyle w:val="1060"/>
        <w:ind w:firstLine="462"/>
        <w:spacing w:before="300" w:after="452" w:line="360" w:lineRule="auto"/>
        <w:widowControl/>
        <w:rPr>
          <w:rStyle w:val="1066"/>
          <w:rFonts w:ascii="宋体" w:hAnsi="宋体"/>
          <w:color w:val="666666"/>
          <w:sz w:val="21"/>
          <w:szCs w:val="21"/>
        </w:rPr>
      </w:pPr>
      <w:r>
        <w:rPr>
          <w:rStyle w:val="1066"/>
          <w:rFonts w:ascii="宋体" w:hAnsi="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0"/>
        <w:jc w:val="left"/>
        <w:widowControl/>
        <w:rPr>
          <w:rFonts w:ascii="宋体" w:hAnsi="宋体"/>
          <w:b/>
          <w:bCs/>
          <w:color w:val="000000"/>
        </w:rPr>
      </w:pPr>
      <w:r>
        <w:rPr>
          <w:rFonts w:ascii="宋体" w:hAnsi="宋体"/>
          <w:b/>
          <w:bCs/>
          <w:color w:val="000000"/>
        </w:rPr>
      </w:r>
      <w:r/>
    </w:p>
    <w:p>
      <w:pPr>
        <w:pStyle w:val="848"/>
        <w:numPr>
          <w:ilvl w:val="0"/>
          <w:numId w:val="0"/>
        </w:numPr>
        <w:rPr>
          <w:rStyle w:val="1066"/>
          <w:b w:val="0"/>
          <w:bCs w:val="0"/>
          <w:color w:val="666666"/>
          <w:sz w:val="21"/>
          <w:szCs w:val="21"/>
        </w:rPr>
      </w:pPr>
      <w:r>
        <w:rPr>
          <w:rStyle w:val="1066"/>
          <w:b w:val="0"/>
          <w:bCs w:val="0"/>
          <w:color w:val="666666"/>
          <w:sz w:val="21"/>
          <w:szCs w:val="21"/>
        </w:rPr>
        <w:br w:type="page" w:clear="all"/>
      </w:r>
      <w:r/>
    </w:p>
    <w:p>
      <w:pPr>
        <w:pStyle w:val="840"/>
        <w:jc w:val="center"/>
      </w:pPr>
      <w:r>
        <w:rPr>
          <w:rFonts w:ascii="宋体" w:hAnsi="宋体"/>
          <w:b/>
          <w:bCs/>
        </w:rPr>
        <w:t xml:space="preserve">残疾人福利性单位声明函</w:t>
      </w:r>
      <w:r/>
    </w:p>
    <w:p>
      <w:pPr>
        <w:pStyle w:val="84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40"/>
        <w:ind w:firstLine="420"/>
        <w:spacing w:line="588" w:lineRule="exact"/>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840"/>
        <w:ind w:firstLine="420"/>
        <w:spacing w:line="588" w:lineRule="exact"/>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pStyle w:val="840"/>
        <w:ind w:firstLine="420"/>
        <w:spacing w:line="588" w:lineRule="exact"/>
        <w:rPr>
          <w:rFonts w:ascii="宋体" w:hAnsi="宋体" w:cs="宋体"/>
          <w:szCs w:val="21"/>
        </w:rPr>
      </w:pPr>
      <w:r>
        <w:rPr>
          <w:rFonts w:hint="eastAsia" w:ascii="宋体" w:hAnsi="宋体" w:cs="宋体"/>
          <w:szCs w:val="21"/>
        </w:rPr>
        <w:t xml:space="preserve">本单位对上述声明的真实性负责。如有虚假，将依法承担相应责任。</w:t>
      </w:r>
      <w:r/>
    </w:p>
    <w:p>
      <w:pPr>
        <w:pStyle w:val="840"/>
        <w:ind w:firstLine="420"/>
        <w:spacing w:line="588" w:lineRule="exact"/>
        <w:rPr>
          <w:rFonts w:ascii="宋体" w:hAnsi="宋体" w:cs="宋体"/>
          <w:szCs w:val="21"/>
        </w:rPr>
      </w:pPr>
      <w:r>
        <w:rPr>
          <w:rFonts w:ascii="宋体" w:hAnsi="宋体" w:cs="宋体"/>
          <w:szCs w:val="21"/>
        </w:rPr>
      </w:r>
      <w:r/>
    </w:p>
    <w:p>
      <w:pPr>
        <w:pStyle w:val="840"/>
        <w:ind w:firstLine="420"/>
        <w:spacing w:line="588" w:lineRule="exact"/>
        <w:rPr>
          <w:rFonts w:ascii="宋体" w:hAnsi="宋体" w:cs="宋体"/>
          <w:szCs w:val="21"/>
        </w:rPr>
      </w:pPr>
      <w:r>
        <w:rPr>
          <w:rFonts w:hint="eastAsia" w:ascii="宋体" w:hAnsi="宋体" w:cs="宋体"/>
          <w:szCs w:val="21"/>
        </w:rPr>
        <w:t xml:space="preserve">（备注：1、供应商如不提供此声明函，价格将不做相应扣除。2、中标供应商为残疾人福利单位的，此声明函将随中标结果同时公告，接受社会监督）</w:t>
      </w:r>
      <w:r/>
    </w:p>
    <w:p>
      <w:pPr>
        <w:pStyle w:val="840"/>
        <w:ind w:firstLine="444"/>
        <w:spacing w:line="588" w:lineRule="exact"/>
        <w:rPr>
          <w:rFonts w:ascii="仿宋_GB2312" w:eastAsia="仿宋_GB2312"/>
          <w:spacing w:val="6"/>
          <w:szCs w:val="21"/>
        </w:rPr>
      </w:pPr>
      <w:r>
        <w:rPr>
          <w:rFonts w:ascii="仿宋_GB2312" w:eastAsia="仿宋_GB2312"/>
          <w:spacing w:val="6"/>
          <w:szCs w:val="21"/>
        </w:rPr>
      </w:r>
      <w:r/>
    </w:p>
    <w:p>
      <w:pPr>
        <w:pStyle w:val="840"/>
        <w:ind w:right="1560" w:firstLine="444"/>
        <w:jc w:val="center"/>
        <w:spacing w:line="588" w:lineRule="exact"/>
        <w:tabs>
          <w:tab w:val="left" w:pos="4860" w:leader="none"/>
        </w:tabs>
        <w:rPr>
          <w:rFonts w:ascii="宋体" w:hAnsi="宋体"/>
          <w:szCs w:val="21"/>
        </w:rPr>
      </w:pPr>
      <w:r>
        <w:rPr>
          <w:rFonts w:ascii="仿宋_GB2312" w:eastAsia="仿宋_GB2312"/>
          <w:spacing w:val="6"/>
          <w:szCs w:val="21"/>
        </w:rPr>
        <w:t xml:space="preserve">             </w:t>
      </w:r>
      <w:r>
        <w:rPr>
          <w:rFonts w:ascii="宋体" w:hAnsi="宋体"/>
          <w:szCs w:val="21"/>
        </w:rPr>
        <w:t xml:space="preserve">               供应商全称（盖章）：</w:t>
      </w:r>
      <w:r/>
    </w:p>
    <w:p>
      <w:pPr>
        <w:pStyle w:val="840"/>
        <w:ind w:right="1560" w:firstLine="420"/>
        <w:jc w:val="center"/>
        <w:spacing w:line="588" w:lineRule="exact"/>
        <w:tabs>
          <w:tab w:val="left" w:pos="4860" w:leader="none"/>
        </w:tabs>
        <w:rPr>
          <w:rFonts w:ascii="宋体" w:hAnsi="宋体"/>
          <w:szCs w:val="21"/>
        </w:rPr>
      </w:pPr>
      <w:r>
        <w:rPr>
          <w:rFonts w:ascii="宋体" w:hAnsi="宋体"/>
          <w:szCs w:val="21"/>
        </w:rPr>
        <w:t xml:space="preserve">                              日  期：</w:t>
      </w:r>
      <w:r/>
    </w:p>
    <w:p>
      <w:pPr>
        <w:pStyle w:val="840"/>
        <w:ind w:right="1560" w:firstLine="420"/>
        <w:jc w:val="center"/>
        <w:spacing w:line="588" w:lineRule="exact"/>
        <w:tabs>
          <w:tab w:val="left" w:pos="4860" w:leader="none"/>
        </w:tabs>
        <w:rPr>
          <w:rFonts w:ascii="宋体" w:hAnsi="宋体"/>
          <w:szCs w:val="21"/>
        </w:rPr>
      </w:pPr>
      <w:r>
        <w:rPr>
          <w:rFonts w:ascii="宋体" w:hAnsi="宋体"/>
          <w:szCs w:val="21"/>
        </w:rPr>
        <w:t xml:space="preserve">                              日  期：</w:t>
      </w:r>
      <w:r/>
    </w:p>
    <w:p>
      <w:pPr>
        <w:pStyle w:val="841"/>
        <w:rPr>
          <w:rFonts w:ascii="宋体" w:hAnsi="宋体"/>
          <w:szCs w:val="21"/>
        </w:rPr>
      </w:pPr>
      <w:r>
        <w:rPr>
          <w:rFonts w:ascii="宋体" w:hAnsi="宋体"/>
          <w:szCs w:val="21"/>
        </w:rPr>
      </w:r>
      <w:r/>
    </w:p>
    <w:p>
      <w:pPr>
        <w:pStyle w:val="842"/>
        <w:rPr>
          <w:rFonts w:ascii="宋体" w:hAnsi="宋体"/>
          <w:szCs w:val="21"/>
          <w:lang w:eastAsia="zh-CN"/>
        </w:rPr>
      </w:pPr>
      <w:r>
        <w:rPr>
          <w:rFonts w:ascii="宋体" w:hAnsi="宋体"/>
          <w:szCs w:val="21"/>
          <w:lang w:eastAsia="zh-CN"/>
        </w:rPr>
      </w:r>
      <w:r/>
    </w:p>
    <w:p>
      <w:pPr>
        <w:pStyle w:val="843"/>
        <w:rPr>
          <w:rFonts w:ascii="宋体"/>
          <w:szCs w:val="21"/>
        </w:rPr>
      </w:pPr>
      <w:r>
        <w:rPr>
          <w:rFonts w:ascii="宋体"/>
          <w:szCs w:val="21"/>
        </w:rPr>
      </w:r>
      <w:r/>
    </w:p>
    <w:p>
      <w:pPr>
        <w:pStyle w:val="845"/>
        <w:rPr>
          <w:rFonts w:hAnsi="宋体"/>
          <w:szCs w:val="21"/>
        </w:rPr>
      </w:pPr>
      <w:r>
        <w:rPr>
          <w:rFonts w:hAnsi="宋体"/>
          <w:szCs w:val="21"/>
        </w:rPr>
      </w:r>
      <w:r/>
    </w:p>
    <w:p>
      <w:r/>
      <w:r/>
    </w:p>
    <w:p>
      <w:pPr>
        <w:pStyle w:val="804"/>
        <w:ind w:firstLine="1200"/>
      </w:pPr>
      <w:r/>
      <w:r/>
    </w:p>
    <w:p>
      <w:pPr>
        <w:pStyle w:val="804"/>
        <w:ind w:firstLine="1200"/>
      </w:pPr>
      <w:r/>
      <w:r/>
    </w:p>
    <w:p>
      <w:pPr>
        <w:pStyle w:val="804"/>
        <w:ind w:firstLine="1200"/>
      </w:pPr>
      <w:r/>
      <w:r/>
    </w:p>
    <w:p>
      <w:r>
        <w:rPr>
          <w:rFonts w:hint="eastAsia"/>
        </w:rPr>
        <w:t xml:space="preserve">关于符合本国产品标准的声明函（采购包号：**）</w:t>
      </w:r>
      <w:r/>
    </w:p>
    <w:p>
      <w:pPr>
        <w:pStyle w:val="825"/>
        <w:ind w:firstLine="482"/>
      </w:pPr>
      <w:r/>
      <w:r/>
    </w:p>
    <w:p>
      <w:pPr>
        <w:pStyle w:val="825"/>
        <w:ind w:firstLine="482"/>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5"/>
        <w:ind w:firstLine="482"/>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1.</w:t>
      </w:r>
      <w:r>
        <w:rPr>
          <w:rStyle w:val="834"/>
          <w:rFonts w:hint="eastAsia" w:ascii="宋体" w:hAnsi="宋体" w:cs="宋体"/>
          <w:i w:val="0"/>
          <w:u w:val="single"/>
          <w:shd w:val="clear" w:color="auto" w:fill="ffffff"/>
        </w:rPr>
        <w:t xml:space="preserve">（产品名称</w:t>
      </w:r>
      <w:r>
        <w:rPr>
          <w:rStyle w:val="834"/>
          <w:rFonts w:hint="eastAsia" w:ascii="方正魏碑_GBK" w:hAnsi="方正魏碑_GBK" w:eastAsia="方正魏碑_GBK" w:cs="方正魏碑_GBK"/>
          <w:i w:val="0"/>
          <w:u w:val="single"/>
          <w:shd w:val="clear" w:color="auto" w:fill="ffffff"/>
        </w:rPr>
        <w:t xml:space="preserve">1</w:t>
      </w:r>
      <w:r>
        <w:rPr>
          <w:rStyle w:val="834"/>
          <w:rFonts w:hint="eastAsia" w:ascii="宋体" w:hAnsi="宋体" w:cs="宋体"/>
          <w:i w:val="0"/>
          <w:u w:val="single"/>
          <w:shd w:val="clear" w:color="auto" w:fill="ffffff"/>
        </w:rPr>
        <w:t xml:space="preserve">）</w:t>
      </w:r>
      <w:r>
        <w:rPr>
          <w:rStyle w:val="834"/>
          <w:rFonts w:hint="eastAsia" w:ascii="方正魏碑_GBK" w:hAnsi="方正魏碑_GBK" w:eastAsia="方正魏碑_GBK" w:cs="方正魏碑_GBK"/>
          <w:i w:val="0"/>
          <w:shd w:val="clear" w:color="auto" w:fill="ffffff"/>
          <w:vertAlign w:val="superscript"/>
        </w:rPr>
        <w:t xml:space="preserve">1</w:t>
      </w:r>
      <w:r>
        <w:rPr>
          <w:rFonts w:hint="eastAsia"/>
          <w:shd w:val="clear" w:color="auto" w:fill="ffffff"/>
        </w:rPr>
        <w:t xml:space="preserve">，生产厂为</w:t>
      </w:r>
      <w:r>
        <w:rPr>
          <w:rStyle w:val="834"/>
          <w:rFonts w:hint="eastAsia" w:ascii="宋体" w:hAnsi="宋体" w:cs="宋体"/>
          <w:i w:val="0"/>
          <w:u w:val="single"/>
          <w:shd w:val="clear" w:color="auto" w:fill="ffffff"/>
        </w:rPr>
        <w:t xml:space="preserve">（厂名）</w:t>
      </w:r>
      <w:r>
        <w:rPr>
          <w:rStyle w:val="834"/>
          <w:rFonts w:hint="eastAsia" w:ascii="方正魏碑_GBK" w:hAnsi="方正魏碑_GBK" w:eastAsia="方正魏碑_GBK" w:cs="方正魏碑_GBK"/>
          <w:i w:val="0"/>
          <w:shd w:val="clear" w:color="auto" w:fill="ffffff"/>
          <w:vertAlign w:val="superscript"/>
        </w:rPr>
        <w:t xml:space="preserve">2</w:t>
      </w:r>
      <w:r>
        <w:rPr>
          <w:rFonts w:hint="eastAsia"/>
          <w:shd w:val="clear" w:color="auto" w:fill="ffffff"/>
        </w:rPr>
        <w:t xml:space="preserve">，厂址为</w:t>
      </w:r>
      <w:r>
        <w:rPr>
          <w:rStyle w:val="834"/>
          <w:rFonts w:hint="eastAsia" w:ascii="宋体" w:hAnsi="宋体" w:cs="宋体"/>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34"/>
          <w:rFonts w:hint="eastAsia" w:ascii="宋体" w:hAnsi="宋体" w:cs="宋体"/>
          <w:i w:val="0"/>
          <w:u w:val="single"/>
          <w:shd w:val="clear" w:color="auto" w:fill="ffffff"/>
        </w:rPr>
        <w:t xml:space="preserve">（产品名称</w:t>
      </w:r>
      <w:r>
        <w:rPr>
          <w:rStyle w:val="834"/>
          <w:rFonts w:hint="eastAsia" w:ascii="方正魏碑_GBK" w:hAnsi="方正魏碑_GBK" w:eastAsia="方正魏碑_GBK" w:cs="方正魏碑_GBK"/>
          <w:i w:val="0"/>
          <w:u w:val="single"/>
          <w:shd w:val="clear" w:color="auto" w:fill="ffffff"/>
        </w:rPr>
        <w:t xml:space="preserve">1</w:t>
      </w:r>
      <w:r>
        <w:rPr>
          <w:rStyle w:val="834"/>
          <w:rFonts w:hint="eastAsia" w:ascii="宋体" w:hAnsi="宋体" w:cs="宋体"/>
          <w:i w:val="0"/>
          <w:u w:val="single"/>
          <w:shd w:val="clear" w:color="auto" w:fill="ffffff"/>
        </w:rPr>
        <w:t xml:space="preserve">）</w:t>
      </w:r>
      <w:r>
        <w:rPr>
          <w:rStyle w:val="834"/>
          <w:rFonts w:hint="eastAsia" w:ascii="方正魏碑_GBK" w:hAnsi="方正魏碑_GBK" w:eastAsia="方正魏碑_GBK" w:cs="方正魏碑_GBK"/>
          <w:i w:val="0"/>
          <w:u w:val="single"/>
          <w:shd w:val="clear" w:color="auto" w:fill="ffffff"/>
        </w:rPr>
        <w:t xml:space="preserve"> </w:t>
      </w:r>
      <w:r>
        <w:rPr>
          <w:rFonts w:hint="eastAsia"/>
          <w:shd w:val="clear" w:color="auto" w:fill="ffffff"/>
        </w:rPr>
        <w:t xml:space="preserve">的中国境内生产的组件成本占比≥</w:t>
      </w:r>
      <w:r>
        <w:rPr>
          <w:rStyle w:val="834"/>
          <w:rFonts w:hint="eastAsia" w:ascii="宋体" w:hAnsi="宋体" w:cs="宋体"/>
          <w:i w:val="0"/>
          <w:u w:val="single"/>
          <w:shd w:val="clear" w:color="auto" w:fill="ffffff"/>
        </w:rPr>
        <w:t xml:space="preserve">（规定比例）</w:t>
      </w:r>
      <w:r>
        <w:rPr>
          <w:rStyle w:val="834"/>
          <w:rFonts w:hint="eastAsia" w:ascii="方正魏碑_GBK" w:hAnsi="方正魏碑_GBK" w:eastAsia="方正魏碑_GBK" w:cs="方正魏碑_GBK"/>
          <w:i w:val="0"/>
          <w:shd w:val="clear" w:color="auto" w:fill="ffffff"/>
          <w:vertAlign w:val="superscript"/>
        </w:rPr>
        <w:t xml:space="preserve">3</w:t>
      </w:r>
      <w:r>
        <w:rPr>
          <w:rFonts w:hint="eastAsia"/>
          <w:shd w:val="clear" w:color="auto" w:fill="ffffff"/>
        </w:rPr>
        <w:t xml:space="preserve">。</w:t>
      </w:r>
      <w:r>
        <w:rPr>
          <w:rStyle w:val="834"/>
          <w:rFonts w:hint="eastAsia" w:ascii="宋体" w:hAnsi="宋体" w:cs="宋体"/>
          <w:i w:val="0"/>
          <w:u w:val="single"/>
          <w:shd w:val="clear" w:color="auto" w:fill="ffffff"/>
        </w:rPr>
        <w:t xml:space="preserve">（产品名称</w:t>
      </w:r>
      <w:r>
        <w:rPr>
          <w:rStyle w:val="834"/>
          <w:rFonts w:hint="eastAsia" w:ascii="方正魏碑_GBK" w:hAnsi="方正魏碑_GBK" w:eastAsia="方正魏碑_GBK" w:cs="方正魏碑_GBK"/>
          <w:i w:val="0"/>
          <w:u w:val="single"/>
          <w:shd w:val="clear" w:color="auto" w:fill="ffffff"/>
        </w:rPr>
        <w:t xml:space="preserve">1</w:t>
      </w:r>
      <w:r>
        <w:rPr>
          <w:rStyle w:val="834"/>
          <w:rFonts w:hint="eastAsia" w:ascii="宋体" w:hAnsi="宋体" w:cs="宋体"/>
          <w:i w:val="0"/>
          <w:u w:val="single"/>
          <w:shd w:val="clear" w:color="auto" w:fill="ffffff"/>
        </w:rPr>
        <w:t xml:space="preserve">）</w:t>
      </w:r>
      <w:r>
        <w:rPr>
          <w:rFonts w:hint="eastAsia"/>
          <w:shd w:val="clear" w:color="auto" w:fill="ffffff"/>
        </w:rPr>
        <w:t xml:space="preserve">的</w:t>
      </w:r>
      <w:r>
        <w:rPr>
          <w:rStyle w:val="834"/>
          <w:rFonts w:hint="eastAsia" w:ascii="宋体" w:hAnsi="宋体" w:cs="宋体"/>
          <w:i w:val="0"/>
          <w:u w:val="single"/>
          <w:shd w:val="clear" w:color="auto" w:fill="ffffff"/>
        </w:rPr>
        <w:t xml:space="preserve">（关键组件）</w:t>
      </w:r>
      <w:r>
        <w:rPr>
          <w:rStyle w:val="834"/>
          <w:rFonts w:hint="eastAsia" w:ascii="方正魏碑_GBK" w:hAnsi="方正魏碑_GBK" w:eastAsia="方正魏碑_GBK" w:cs="方正魏碑_GBK"/>
          <w:i w:val="0"/>
          <w:shd w:val="clear" w:color="auto" w:fill="ffffff"/>
          <w:vertAlign w:val="superscript"/>
        </w:rPr>
        <w:t xml:space="preserve">4</w:t>
      </w:r>
      <w:r>
        <w:rPr>
          <w:rFonts w:hint="eastAsia"/>
          <w:shd w:val="clear" w:color="auto" w:fill="ffffff"/>
        </w:rPr>
        <w:t xml:space="preserve">在中国境内生产。</w:t>
      </w:r>
      <w:r>
        <w:rPr>
          <w:rStyle w:val="834"/>
          <w:rFonts w:hint="eastAsia" w:ascii="宋体" w:hAnsi="宋体" w:cs="宋体"/>
          <w:i w:val="0"/>
          <w:u w:val="single"/>
          <w:shd w:val="clear" w:color="auto" w:fill="ffffff"/>
        </w:rPr>
        <w:t xml:space="preserve">（产品名称</w:t>
      </w:r>
      <w:r>
        <w:rPr>
          <w:rStyle w:val="834"/>
          <w:rFonts w:hint="eastAsia" w:ascii="方正魏碑_GBK" w:hAnsi="方正魏碑_GBK" w:eastAsia="方正魏碑_GBK" w:cs="方正魏碑_GBK"/>
          <w:i w:val="0"/>
          <w:u w:val="single"/>
          <w:shd w:val="clear" w:color="auto" w:fill="ffffff"/>
        </w:rPr>
        <w:t xml:space="preserve">1</w:t>
      </w:r>
      <w:r>
        <w:rPr>
          <w:rStyle w:val="834"/>
          <w:rFonts w:hint="eastAsia" w:ascii="宋体" w:hAnsi="宋体" w:cs="宋体"/>
          <w:i w:val="0"/>
          <w:u w:val="single"/>
          <w:shd w:val="clear" w:color="auto" w:fill="ffffff"/>
        </w:rPr>
        <w:t xml:space="preserve">）</w:t>
      </w:r>
      <w:r>
        <w:rPr>
          <w:rFonts w:hint="eastAsia"/>
          <w:shd w:val="clear" w:color="auto" w:fill="ffffff"/>
        </w:rPr>
        <w:t xml:space="preserve">的</w:t>
      </w:r>
      <w:r>
        <w:rPr>
          <w:rStyle w:val="834"/>
          <w:rFonts w:hint="eastAsia" w:ascii="宋体" w:hAnsi="宋体" w:cs="宋体"/>
          <w:i w:val="0"/>
          <w:u w:val="single"/>
          <w:shd w:val="clear" w:color="auto" w:fill="ffffff"/>
        </w:rPr>
        <w:t xml:space="preserve">（关键工序）</w:t>
      </w:r>
      <w:r>
        <w:rPr>
          <w:rStyle w:val="834"/>
          <w:rFonts w:hint="eastAsia" w:ascii="方正魏碑_GBK" w:hAnsi="方正魏碑_GBK" w:eastAsia="方正魏碑_GBK" w:cs="方正魏碑_GBK"/>
          <w:i w:val="0"/>
          <w:shd w:val="clear" w:color="auto" w:fill="ffffff"/>
          <w:vertAlign w:val="superscript"/>
        </w:rPr>
        <w:t xml:space="preserve">5</w:t>
      </w:r>
      <w:r>
        <w:rPr>
          <w:rFonts w:hint="eastAsia"/>
          <w:shd w:val="clear" w:color="auto" w:fill="ffffff"/>
        </w:rPr>
        <w:t xml:space="preserve">在中国境内完成。</w:t>
      </w:r>
      <w:r/>
    </w:p>
    <w:p>
      <w:pPr>
        <w:pStyle w:val="825"/>
        <w:ind w:firstLine="482"/>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2.</w:t>
      </w:r>
      <w:r>
        <w:rPr>
          <w:rStyle w:val="834"/>
          <w:rFonts w:hint="eastAsia" w:ascii="宋体" w:hAnsi="宋体" w:cs="宋体"/>
          <w:i w:val="0"/>
          <w:u w:val="single"/>
          <w:shd w:val="clear" w:color="auto" w:fill="ffffff"/>
        </w:rPr>
        <w:t xml:space="preserve">（产品名称</w:t>
      </w:r>
      <w:r>
        <w:rPr>
          <w:rStyle w:val="834"/>
          <w:rFonts w:hint="eastAsia" w:ascii="方正魏碑_GBK" w:hAnsi="方正魏碑_GBK" w:eastAsia="方正魏碑_GBK" w:cs="方正魏碑_GBK"/>
          <w:i w:val="0"/>
          <w:u w:val="single"/>
          <w:shd w:val="clear" w:color="auto" w:fill="ffffff"/>
        </w:rPr>
        <w:t xml:space="preserve">2</w:t>
      </w:r>
      <w:r>
        <w:rPr>
          <w:rStyle w:val="834"/>
          <w:rFonts w:hint="eastAsia" w:ascii="宋体" w:hAnsi="宋体" w:cs="宋体"/>
          <w:i w:val="0"/>
          <w:u w:val="single"/>
          <w:shd w:val="clear" w:color="auto" w:fill="ffffff"/>
        </w:rPr>
        <w:t xml:space="preserve">）</w:t>
      </w:r>
      <w:r>
        <w:rPr>
          <w:rFonts w:hint="eastAsia"/>
          <w:shd w:val="clear" w:color="auto" w:fill="ffffff"/>
        </w:rPr>
        <w:t xml:space="preserve">，生产厂为</w:t>
      </w:r>
      <w:r>
        <w:rPr>
          <w:rStyle w:val="834"/>
          <w:rFonts w:hint="eastAsia" w:ascii="宋体" w:hAnsi="宋体" w:cs="宋体"/>
          <w:i w:val="0"/>
          <w:u w:val="single"/>
          <w:shd w:val="clear" w:color="auto" w:fill="ffffff"/>
        </w:rPr>
        <w:t xml:space="preserve">（厂名）</w:t>
      </w:r>
      <w:r>
        <w:rPr>
          <w:rFonts w:hint="eastAsia"/>
          <w:shd w:val="clear" w:color="auto" w:fill="ffffff"/>
        </w:rPr>
        <w:t xml:space="preserve">，厂址为</w:t>
      </w:r>
      <w:r>
        <w:rPr>
          <w:rStyle w:val="834"/>
          <w:rFonts w:hint="eastAsia" w:ascii="宋体" w:hAnsi="宋体" w:cs="宋体"/>
          <w:i w:val="0"/>
          <w:u w:val="single"/>
          <w:shd w:val="clear" w:color="auto" w:fill="ffffff"/>
        </w:rPr>
        <w:t xml:space="preserve">（生产厂址）</w:t>
      </w:r>
      <w:r>
        <w:rPr>
          <w:rFonts w:hint="eastAsia"/>
          <w:shd w:val="clear" w:color="auto" w:fill="ffffff"/>
        </w:rPr>
        <w:t xml:space="preserve">。</w:t>
      </w:r>
      <w:r>
        <w:rPr>
          <w:rStyle w:val="834"/>
          <w:rFonts w:hint="eastAsia" w:ascii="宋体" w:hAnsi="宋体" w:cs="宋体"/>
          <w:i w:val="0"/>
          <w:u w:val="single"/>
          <w:shd w:val="clear" w:color="auto" w:fill="ffffff"/>
        </w:rPr>
        <w:t xml:space="preserve">（产品名称</w:t>
      </w:r>
      <w:r>
        <w:rPr>
          <w:rStyle w:val="834"/>
          <w:rFonts w:hint="eastAsia" w:ascii="方正魏碑_GBK" w:hAnsi="方正魏碑_GBK" w:eastAsia="方正魏碑_GBK" w:cs="方正魏碑_GBK"/>
          <w:i w:val="0"/>
          <w:u w:val="single"/>
          <w:shd w:val="clear" w:color="auto" w:fill="ffffff"/>
        </w:rPr>
        <w:t xml:space="preserve">2</w:t>
      </w:r>
      <w:r>
        <w:rPr>
          <w:rStyle w:val="834"/>
          <w:rFonts w:hint="eastAsia" w:ascii="宋体" w:hAnsi="宋体" w:cs="宋体"/>
          <w:i w:val="0"/>
          <w:u w:val="single"/>
          <w:shd w:val="clear" w:color="auto" w:fill="ffffff"/>
        </w:rPr>
        <w:t xml:space="preserve">）</w:t>
      </w:r>
      <w:r>
        <w:rPr>
          <w:rFonts w:hint="eastAsia"/>
          <w:shd w:val="clear" w:color="auto" w:fill="ffffff"/>
        </w:rPr>
        <w:t xml:space="preserve">的中国境内生产的组件成本占比≥</w:t>
      </w:r>
      <w:r>
        <w:rPr>
          <w:rStyle w:val="834"/>
          <w:rFonts w:hint="eastAsia" w:ascii="宋体" w:hAnsi="宋体" w:cs="宋体"/>
          <w:i w:val="0"/>
          <w:u w:val="single"/>
          <w:shd w:val="clear" w:color="auto" w:fill="ffffff"/>
        </w:rPr>
        <w:t xml:space="preserve">（规定比例）</w:t>
      </w:r>
      <w:r>
        <w:rPr>
          <w:rFonts w:hint="eastAsia"/>
          <w:shd w:val="clear" w:color="auto" w:fill="ffffff"/>
        </w:rPr>
        <w:t xml:space="preserve">。</w:t>
      </w:r>
      <w:r>
        <w:rPr>
          <w:rStyle w:val="834"/>
          <w:rFonts w:hint="eastAsia" w:ascii="宋体" w:hAnsi="宋体" w:cs="宋体"/>
          <w:i w:val="0"/>
          <w:u w:val="single"/>
          <w:shd w:val="clear" w:color="auto" w:fill="ffffff"/>
        </w:rPr>
        <w:t xml:space="preserve">（产品名称</w:t>
      </w:r>
      <w:r>
        <w:rPr>
          <w:rStyle w:val="834"/>
          <w:rFonts w:hint="eastAsia" w:ascii="方正魏碑_GBK" w:hAnsi="方正魏碑_GBK" w:eastAsia="方正魏碑_GBK" w:cs="方正魏碑_GBK"/>
          <w:i w:val="0"/>
          <w:u w:val="single"/>
          <w:shd w:val="clear" w:color="auto" w:fill="ffffff"/>
        </w:rPr>
        <w:t xml:space="preserve">2</w:t>
      </w:r>
      <w:r>
        <w:rPr>
          <w:rStyle w:val="834"/>
          <w:rFonts w:hint="eastAsia" w:ascii="宋体" w:hAnsi="宋体" w:cs="宋体"/>
          <w:i w:val="0"/>
          <w:u w:val="single"/>
          <w:shd w:val="clear" w:color="auto" w:fill="ffffff"/>
        </w:rPr>
        <w:t xml:space="preserve">）</w:t>
      </w:r>
      <w:r>
        <w:rPr>
          <w:rFonts w:hint="eastAsia"/>
          <w:shd w:val="clear" w:color="auto" w:fill="ffffff"/>
        </w:rPr>
        <w:t xml:space="preserve">的</w:t>
      </w:r>
      <w:r>
        <w:rPr>
          <w:rStyle w:val="834"/>
          <w:rFonts w:hint="eastAsia" w:ascii="宋体" w:hAnsi="宋体" w:cs="宋体"/>
          <w:i w:val="0"/>
          <w:u w:val="single"/>
          <w:shd w:val="clear" w:color="auto" w:fill="ffffff"/>
        </w:rPr>
        <w:t xml:space="preserve">（关键组件）</w:t>
      </w:r>
      <w:r>
        <w:rPr>
          <w:rFonts w:hint="eastAsia"/>
          <w:shd w:val="clear" w:color="auto" w:fill="ffffff"/>
        </w:rPr>
        <w:t xml:space="preserve">在中国境内生产。</w:t>
      </w:r>
      <w:r>
        <w:rPr>
          <w:rStyle w:val="834"/>
          <w:rFonts w:hint="eastAsia" w:ascii="宋体" w:hAnsi="宋体" w:cs="宋体"/>
          <w:i w:val="0"/>
          <w:u w:val="single"/>
          <w:shd w:val="clear" w:color="auto" w:fill="ffffff"/>
        </w:rPr>
        <w:t xml:space="preserve">（产品名称</w:t>
      </w:r>
      <w:r>
        <w:rPr>
          <w:rStyle w:val="834"/>
          <w:rFonts w:hint="eastAsia" w:ascii="方正魏碑_GBK" w:hAnsi="方正魏碑_GBK" w:eastAsia="方正魏碑_GBK" w:cs="方正魏碑_GBK"/>
          <w:i w:val="0"/>
          <w:u w:val="single"/>
          <w:shd w:val="clear" w:color="auto" w:fill="ffffff"/>
        </w:rPr>
        <w:t xml:space="preserve">1</w:t>
      </w:r>
      <w:r>
        <w:rPr>
          <w:rStyle w:val="834"/>
          <w:rFonts w:hint="eastAsia" w:ascii="宋体" w:hAnsi="宋体" w:cs="宋体"/>
          <w:i w:val="0"/>
          <w:u w:val="single"/>
          <w:shd w:val="clear" w:color="auto" w:fill="ffffff"/>
        </w:rPr>
        <w:t xml:space="preserve">）</w:t>
      </w:r>
      <w:r>
        <w:rPr>
          <w:rFonts w:hint="eastAsia"/>
          <w:shd w:val="clear" w:color="auto" w:fill="ffffff"/>
        </w:rPr>
        <w:t xml:space="preserve">的</w:t>
      </w:r>
      <w:r>
        <w:rPr>
          <w:rStyle w:val="834"/>
          <w:rFonts w:hint="eastAsia" w:ascii="宋体" w:hAnsi="宋体" w:cs="宋体"/>
          <w:i w:val="0"/>
          <w:u w:val="single"/>
          <w:shd w:val="clear" w:color="auto" w:fill="ffffff"/>
        </w:rPr>
        <w:t xml:space="preserve">（关键工序）</w:t>
      </w:r>
      <w:r>
        <w:rPr>
          <w:rFonts w:hint="eastAsia"/>
          <w:shd w:val="clear" w:color="auto" w:fill="ffffff"/>
        </w:rPr>
        <w:t xml:space="preserve">在中国境内完成。</w:t>
      </w:r>
      <w:r/>
    </w:p>
    <w:p>
      <w:pPr>
        <w:pStyle w:val="825"/>
        <w:ind w:firstLine="482"/>
      </w:pPr>
      <w:r>
        <w:rPr>
          <w:rFonts w:hint="eastAsia"/>
          <w:shd w:val="clear" w:color="auto" w:fill="ffffff"/>
        </w:rPr>
        <w:t xml:space="preserve">……</w:t>
      </w:r>
      <w:r/>
    </w:p>
    <w:p>
      <w:pPr>
        <w:pStyle w:val="825"/>
        <w:ind w:firstLine="482"/>
      </w:pPr>
      <w:r>
        <w:rPr>
          <w:rFonts w:hint="eastAsia"/>
          <w:shd w:val="clear" w:color="auto" w:fill="ffffff"/>
        </w:rPr>
        <w:t xml:space="preserve">本公司（单位）对上述声明内容的真实性负责。如有虚假，愿承担相应法律责任。</w:t>
      </w:r>
      <w:r/>
    </w:p>
    <w:p>
      <w:pPr>
        <w:pStyle w:val="825"/>
        <w:ind w:firstLine="482"/>
      </w:pPr>
      <w:r/>
      <w:r/>
    </w:p>
    <w:p>
      <w:pPr>
        <w:pStyle w:val="825"/>
        <w:ind w:firstLine="482"/>
      </w:pPr>
      <w:r>
        <w:rPr>
          <w:rFonts w:hint="eastAsia"/>
          <w:shd w:val="clear" w:color="auto" w:fill="ffffff"/>
        </w:rPr>
        <w:t xml:space="preserve">公司（单位）名称（盖章）：　        </w:t>
      </w:r>
      <w:r/>
    </w:p>
    <w:p>
      <w:pPr>
        <w:pStyle w:val="825"/>
        <w:ind w:firstLine="482"/>
      </w:pPr>
      <w:r>
        <w:rPr>
          <w:rFonts w:hint="eastAsia"/>
          <w:shd w:val="clear" w:color="auto" w:fill="ffffff"/>
        </w:rPr>
        <w:t xml:space="preserve">                    </w:t>
      </w:r>
      <w:r>
        <w:rPr>
          <w:shd w:val="clear" w:color="auto" w:fill="ffffff"/>
        </w:rPr>
        <w:t xml:space="preserve">            </w:t>
      </w:r>
      <w:r>
        <w:rPr>
          <w:rFonts w:hint="eastAsia"/>
          <w:shd w:val="clear" w:color="auto" w:fill="ffffff"/>
        </w:rPr>
        <w:t xml:space="preserve">日期：　   </w:t>
      </w:r>
      <w:r>
        <w:rPr>
          <w:rFonts w:hint="eastAsia" w:ascii="宋体" w:hAnsi="宋体" w:cs="宋体"/>
          <w:shd w:val="clear" w:color="auto" w:fill="ffffff"/>
        </w:rPr>
        <w:t xml:space="preserve">年　</w:t>
      </w:r>
      <w:r>
        <w:rPr>
          <w:rFonts w:hint="eastAsia"/>
          <w:shd w:val="clear" w:color="auto" w:fill="ffffff"/>
        </w:rPr>
        <w:t xml:space="preserve">  </w:t>
      </w:r>
      <w:r>
        <w:rPr>
          <w:rFonts w:hint="eastAsia" w:ascii="宋体" w:hAnsi="宋体" w:cs="宋体"/>
          <w:shd w:val="clear" w:color="auto" w:fill="ffffff"/>
        </w:rPr>
        <w:t xml:space="preserve">月　</w:t>
      </w:r>
      <w:r>
        <w:rPr>
          <w:rFonts w:hint="eastAsia"/>
          <w:shd w:val="clear" w:color="auto" w:fill="ffffff"/>
        </w:rPr>
        <w:t xml:space="preserve">  </w:t>
      </w:r>
      <w:r>
        <w:rPr>
          <w:rFonts w:hint="eastAsia" w:ascii="宋体" w:hAnsi="宋体" w:cs="宋体"/>
          <w:shd w:val="clear" w:color="auto" w:fill="ffffff"/>
        </w:rPr>
        <w:t xml:space="preserve">日</w:t>
      </w:r>
      <w:r>
        <w:rPr>
          <w:rFonts w:hint="eastAsia"/>
          <w:shd w:val="clear" w:color="auto" w:fill="ffffff"/>
        </w:rPr>
        <w:t xml:space="preserve">         </w:t>
      </w:r>
      <w:r/>
    </w:p>
    <w:p>
      <w:pPr>
        <w:pStyle w:val="825"/>
        <w:ind w:firstLine="482"/>
      </w:pPr>
      <w:r>
        <w:rPr>
          <w:rFonts w:hint="eastAsia"/>
          <w:shd w:val="clear" w:color="auto" w:fill="ffffff"/>
        </w:rPr>
        <w:t xml:space="preserve">__________________</w:t>
      </w:r>
      <w:r/>
    </w:p>
    <w:p>
      <w:pPr>
        <w:pStyle w:val="825"/>
        <w:ind w:firstLine="482"/>
      </w:pPr>
      <w:r>
        <w:rPr>
          <w:rFonts w:hint="eastAsia"/>
          <w:shd w:val="clear" w:color="auto" w:fill="ffffff"/>
        </w:rPr>
        <w:t xml:space="preserve">1.产品如有型号，请在“产品名称”栏一并填写。</w:t>
      </w:r>
      <w:r/>
    </w:p>
    <w:p>
      <w:pPr>
        <w:pStyle w:val="825"/>
        <w:ind w:firstLine="482"/>
      </w:pPr>
      <w:r>
        <w:rPr>
          <w:rFonts w:hint="eastAsia"/>
          <w:shd w:val="clear" w:color="auto" w:fill="ffffff"/>
        </w:rPr>
        <w:t xml:space="preserve">2.生产厂名与厂址应与生产厂营业执照载明的相关信息保持一致。</w:t>
      </w:r>
      <w:r/>
    </w:p>
    <w:p>
      <w:pPr>
        <w:pStyle w:val="825"/>
        <w:ind w:firstLine="482"/>
      </w:pPr>
      <w:r>
        <w:rPr>
          <w:rFonts w:hint="eastAsia"/>
          <w:shd w:val="clear" w:color="auto" w:fill="ffffff"/>
        </w:rPr>
        <w:t xml:space="preserve">3.该产品的中国境内生产的组件成本占比相关要求实施前，“规定比例”栏可不填，下同。</w:t>
      </w:r>
      <w:r/>
    </w:p>
    <w:p>
      <w:pPr>
        <w:pStyle w:val="825"/>
        <w:ind w:firstLine="482"/>
      </w:pPr>
      <w:r>
        <w:rPr>
          <w:rFonts w:hint="eastAsia"/>
          <w:shd w:val="clear" w:color="auto" w:fill="ffffff"/>
        </w:rPr>
        <w:t xml:space="preserve">4.该产品的关键组件要求实施前，“关键组件”栏可不填，下同。</w:t>
      </w:r>
      <w:r/>
    </w:p>
    <w:p>
      <w:pPr>
        <w:pStyle w:val="825"/>
        <w:ind w:firstLine="482"/>
        <w:rPr>
          <w:shd w:val="clear" w:color="auto" w:fill="ffffff"/>
        </w:rPr>
      </w:pPr>
      <w:r>
        <w:rPr>
          <w:rFonts w:hint="eastAsia"/>
          <w:shd w:val="clear" w:color="auto" w:fill="ffffff"/>
        </w:rPr>
        <w:t xml:space="preserve">5.该产品的关键工序要求实施前，“关键工序”栏可不填，下同。</w:t>
      </w:r>
      <w:r/>
    </w:p>
    <w:p>
      <w:pPr>
        <w:pStyle w:val="825"/>
        <w:ind w:firstLine="482"/>
        <w:rPr>
          <w:shd w:val="clear" w:color="auto" w:fill="ffffff"/>
        </w:rPr>
      </w:pPr>
      <w:r>
        <w:rPr>
          <w:rFonts w:hint="eastAsia"/>
          <w:shd w:val="clear" w:color="auto" w:fill="ffffff"/>
        </w:rPr>
        <w:t xml:space="preserve">6.用斜线划除的地方无需填写。</w:t>
      </w:r>
      <w:r/>
    </w:p>
    <w:p>
      <w:pPr>
        <w:pStyle w:val="804"/>
        <w:ind w:firstLine="1200"/>
      </w:pPr>
      <w:r/>
      <w:r/>
    </w:p>
    <w:p>
      <w:pPr>
        <w:pStyle w:val="804"/>
        <w:ind w:firstLine="1200"/>
      </w:pPr>
      <w:r/>
      <w:r/>
    </w:p>
    <w:p>
      <w:pPr>
        <w:pStyle w:val="841"/>
        <w:rPr>
          <w:rFonts w:ascii="宋体" w:hAnsi="宋体"/>
          <w:szCs w:val="21"/>
        </w:rPr>
      </w:pPr>
      <w:r>
        <w:rPr>
          <w:rFonts w:ascii="宋体" w:hAnsi="宋体"/>
          <w:szCs w:val="21"/>
        </w:rPr>
      </w:r>
      <w:r/>
    </w:p>
    <w:p>
      <w:pPr>
        <w:pStyle w:val="842"/>
        <w:rPr>
          <w:rFonts w:ascii="宋体" w:hAnsi="宋体"/>
          <w:szCs w:val="21"/>
          <w:lang w:eastAsia="zh-CN"/>
        </w:rPr>
      </w:pPr>
      <w:r>
        <w:rPr>
          <w:rFonts w:ascii="宋体" w:hAnsi="宋体"/>
          <w:szCs w:val="21"/>
          <w:lang w:eastAsia="zh-CN"/>
        </w:rPr>
      </w:r>
      <w:r/>
    </w:p>
    <w:p>
      <w:pPr>
        <w:pStyle w:val="843"/>
        <w:rPr>
          <w:rFonts w:ascii="宋体"/>
          <w:szCs w:val="21"/>
        </w:rPr>
      </w:pPr>
      <w:r>
        <w:rPr>
          <w:rFonts w:ascii="宋体"/>
          <w:szCs w:val="21"/>
        </w:rPr>
      </w:r>
      <w:r/>
    </w:p>
    <w:p>
      <w:pPr>
        <w:pStyle w:val="845"/>
        <w:rPr>
          <w:rFonts w:hAnsi="宋体"/>
          <w:szCs w:val="21"/>
        </w:rPr>
      </w:pPr>
      <w:r>
        <w:rPr>
          <w:rFonts w:hAnsi="宋体"/>
          <w:szCs w:val="21"/>
        </w:rPr>
      </w:r>
      <w:r/>
    </w:p>
    <w:p>
      <w:r/>
      <w:r/>
    </w:p>
    <w:p>
      <w:pPr>
        <w:pStyle w:val="847"/>
        <w:rPr>
          <w:rFonts w:hAnsi="宋体"/>
          <w:szCs w:val="21"/>
        </w:rPr>
      </w:pPr>
      <w:r>
        <w:rPr>
          <w:rFonts w:hAnsi="宋体"/>
          <w:szCs w:val="21"/>
        </w:rPr>
      </w:r>
      <w:r/>
    </w:p>
    <w:p>
      <w:pPr>
        <w:pStyle w:val="847"/>
        <w:rPr>
          <w:rFonts w:hAnsi="宋体"/>
          <w:szCs w:val="21"/>
        </w:rPr>
      </w:pPr>
      <w:r>
        <w:rPr>
          <w:rFonts w:hAnsi="宋体"/>
          <w:szCs w:val="21"/>
        </w:rPr>
      </w:r>
      <w:r/>
    </w:p>
    <w:p>
      <w:pPr>
        <w:pStyle w:val="840"/>
        <w:jc w:val="center"/>
        <w:rPr>
          <w:rFonts w:ascii="宋体" w:hAnsi="宋体"/>
          <w:b/>
          <w:sz w:val="32"/>
          <w:szCs w:val="32"/>
        </w:rPr>
      </w:pPr>
      <w:r>
        <w:rPr>
          <w:rFonts w:ascii="宋体" w:hAnsi="宋体"/>
          <w:b/>
          <w:sz w:val="32"/>
          <w:szCs w:val="32"/>
        </w:rPr>
        <w:t xml:space="preserve">四、开标一览表</w:t>
      </w:r>
      <w:r/>
    </w:p>
    <w:p>
      <w:pPr>
        <w:pStyle w:val="840"/>
        <w:ind w:firstLine="480"/>
        <w:spacing w:line="360" w:lineRule="auto"/>
        <w:rPr>
          <w:szCs w:val="21"/>
        </w:rPr>
      </w:pPr>
      <w:r>
        <w:rPr>
          <w:rFonts w:ascii="宋体" w:hAnsi="宋体"/>
          <w:szCs w:val="21"/>
        </w:rPr>
        <w:t xml:space="preserve">项目名称：</w:t>
      </w:r>
      <w:r/>
    </w:p>
    <w:p>
      <w:pPr>
        <w:pStyle w:val="840"/>
        <w:ind w:firstLine="480"/>
        <w:spacing w:line="360" w:lineRule="auto"/>
        <w:rPr>
          <w:rFonts w:ascii="宋体" w:hAnsi="宋体"/>
          <w:szCs w:val="21"/>
        </w:rPr>
      </w:pPr>
      <w:r>
        <w:rPr>
          <w:rFonts w:ascii="宋体" w:hAnsi="宋体"/>
          <w:szCs w:val="21"/>
        </w:rPr>
        <w:t xml:space="preserve">项目编号：</w:t>
      </w:r>
      <w:r/>
    </w:p>
    <w:p>
      <w:pPr>
        <w:pStyle w:val="840"/>
        <w:ind w:firstLine="480"/>
        <w:spacing w:line="360" w:lineRule="auto"/>
        <w:rPr>
          <w:rFonts w:ascii="宋体" w:hAnsi="宋体"/>
          <w:szCs w:val="21"/>
        </w:rPr>
      </w:pPr>
      <w:r>
        <w:rPr>
          <w:rFonts w:ascii="宋体" w:hAnsi="宋体"/>
          <w:szCs w:val="21"/>
        </w:rPr>
        <w:t xml:space="preserve">分包号(如有)： </w:t>
      </w:r>
      <w:r>
        <w:rPr>
          <w:rFonts w:hint="eastAsia" w:ascii="宋体" w:hAnsi="宋体"/>
          <w:szCs w:val="21"/>
        </w:rPr>
        <w:t xml:space="preserve">/</w:t>
      </w:r>
      <w:r/>
    </w:p>
    <w:tbl>
      <w:tblPr>
        <w:tblStyle w:val="799"/>
        <w:tblpPr w:horzAnchor="page" w:tblpXSpec="center" w:vertAnchor="text" w:tblpY="210"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5"/>
        <w:gridCol w:w="6144"/>
      </w:tblGrid>
      <w:tr>
        <w:trPr>
          <w:cantSplit/>
          <w:jc w:val="center"/>
          <w:trHeight w:val="1098"/>
        </w:trPr>
        <w:tc>
          <w:tcPr>
            <w:tcW w:w="1394" w:type="pct"/>
            <w:vAlign w:val="center"/>
            <w:textDirection w:val="lrTb"/>
            <w:noWrap w:val="false"/>
          </w:tcPr>
          <w:p>
            <w:pPr>
              <w:pStyle w:val="1039"/>
              <w:jc w:val="center"/>
              <w:spacing w:line="300" w:lineRule="auto"/>
              <w:rPr>
                <w:rFonts w:ascii="宋体" w:hAnsi="宋体" w:eastAsia="宋体"/>
                <w:sz w:val="21"/>
                <w:szCs w:val="21"/>
              </w:rPr>
            </w:pPr>
            <w:r>
              <w:rPr>
                <w:rFonts w:hint="eastAsia" w:ascii="宋体" w:hAnsi="宋体" w:eastAsia="宋体" w:cs="宋体"/>
                <w:sz w:val="21"/>
                <w:szCs w:val="21"/>
              </w:rPr>
              <w:t xml:space="preserve">投标货物及服务名称</w:t>
            </w:r>
            <w:r/>
          </w:p>
        </w:tc>
        <w:tc>
          <w:tcPr>
            <w:tcW w:w="3605" w:type="pct"/>
            <w:vAlign w:val="center"/>
            <w:textDirection w:val="lrTb"/>
            <w:noWrap w:val="false"/>
          </w:tcPr>
          <w:p>
            <w:pPr>
              <w:pStyle w:val="840"/>
              <w:rPr>
                <w:rFonts w:ascii="宋体" w:hAnsi="宋体"/>
                <w:szCs w:val="21"/>
              </w:rPr>
            </w:pPr>
            <w:r>
              <w:rPr>
                <w:rFonts w:ascii="宋体" w:hAnsi="宋体"/>
                <w:szCs w:val="21"/>
              </w:rPr>
              <w:t xml:space="preserve">                   </w:t>
            </w:r>
            <w:r>
              <w:rPr>
                <w:rFonts w:hint="eastAsia" w:ascii="宋体" w:hAnsi="宋体"/>
                <w:szCs w:val="21"/>
              </w:rPr>
              <w:t xml:space="preserve">投标总报价</w:t>
            </w:r>
            <w:r/>
          </w:p>
        </w:tc>
      </w:tr>
      <w:tr>
        <w:trPr>
          <w:cantSplit/>
          <w:jc w:val="center"/>
          <w:trHeight w:val="1697"/>
        </w:trPr>
        <w:tc>
          <w:tcPr>
            <w:tcW w:w="1394" w:type="pct"/>
            <w:vAlign w:val="center"/>
            <w:textDirection w:val="lrTb"/>
            <w:noWrap w:val="false"/>
          </w:tcPr>
          <w:p>
            <w:pPr>
              <w:pStyle w:val="1039"/>
              <w:jc w:val="center"/>
              <w:spacing w:line="300" w:lineRule="auto"/>
              <w:rPr>
                <w:rFonts w:ascii="宋体" w:hAnsi="宋体" w:eastAsia="宋体"/>
                <w:sz w:val="21"/>
                <w:szCs w:val="21"/>
              </w:rPr>
            </w:pPr>
            <w:r>
              <w:rPr>
                <w:rFonts w:ascii="宋体" w:hAnsi="宋体" w:eastAsia="宋体"/>
                <w:sz w:val="21"/>
                <w:szCs w:val="21"/>
              </w:rPr>
            </w:r>
            <w:r/>
          </w:p>
        </w:tc>
        <w:tc>
          <w:tcPr>
            <w:tcW w:w="3605" w:type="pct"/>
            <w:vAlign w:val="center"/>
            <w:textDirection w:val="lrTb"/>
            <w:noWrap w:val="false"/>
          </w:tcPr>
          <w:p>
            <w:pPr>
              <w:pStyle w:val="1153"/>
              <w:ind w:firstLine="0"/>
              <w:spacing w:before="0" w:after="0" w:line="500" w:lineRule="exact"/>
              <w:rPr>
                <w:rFonts w:ascii="宋体" w:hAnsi="宋体"/>
                <w:sz w:val="21"/>
                <w:szCs w:val="21"/>
              </w:rPr>
            </w:pPr>
            <w:r>
              <w:rPr>
                <w:rFonts w:hint="eastAsia" w:ascii="宋体" w:hAnsi="宋体"/>
                <w:sz w:val="21"/>
                <w:szCs w:val="21"/>
              </w:rPr>
              <w:t xml:space="preserve">大写：</w:t>
            </w:r>
            <w:r/>
          </w:p>
          <w:p>
            <w:pPr>
              <w:pStyle w:val="1153"/>
              <w:ind w:firstLine="0"/>
              <w:spacing w:before="0" w:after="0"/>
              <w:rPr>
                <w:rFonts w:ascii="宋体" w:hAnsi="宋体"/>
                <w:sz w:val="21"/>
                <w:szCs w:val="21"/>
              </w:rPr>
            </w:pPr>
            <w:r>
              <w:rPr>
                <w:rFonts w:hint="eastAsia" w:ascii="宋体" w:hAnsi="宋体"/>
                <w:sz w:val="21"/>
                <w:szCs w:val="21"/>
              </w:rPr>
              <w:t xml:space="preserve">小写：</w:t>
            </w:r>
            <w:r>
              <w:rPr>
                <w:rFonts w:hint="eastAsia" w:ascii="宋体" w:hAnsi="宋体" w:cs="宋体"/>
                <w:sz w:val="21"/>
                <w:szCs w:val="21"/>
              </w:rPr>
              <w:t xml:space="preserve">                 （人民币：元）</w:t>
            </w:r>
            <w:r/>
          </w:p>
        </w:tc>
      </w:tr>
      <w:tr>
        <w:trPr>
          <w:cantSplit/>
          <w:jc w:val="center"/>
          <w:trHeight w:val="1697"/>
        </w:trPr>
        <w:tc>
          <w:tcPr>
            <w:tcW w:w="1394" w:type="pct"/>
            <w:vAlign w:val="center"/>
            <w:textDirection w:val="lrTb"/>
            <w:noWrap w:val="false"/>
          </w:tcPr>
          <w:p>
            <w:pPr>
              <w:pStyle w:val="1039"/>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p>
        </w:tc>
        <w:tc>
          <w:tcPr>
            <w:tcW w:w="3605" w:type="pct"/>
            <w:vAlign w:val="center"/>
            <w:textDirection w:val="lrTb"/>
            <w:noWrap w:val="false"/>
          </w:tcPr>
          <w:p>
            <w:pPr>
              <w:pStyle w:val="1153"/>
              <w:ind w:firstLine="0"/>
              <w:jc w:val="both"/>
              <w:spacing w:before="0" w:after="0" w:line="500" w:lineRule="exact"/>
              <w:rPr>
                <w:rFonts w:ascii="宋体" w:hAnsi="宋体" w:cs="宋体"/>
                <w:sz w:val="21"/>
                <w:szCs w:val="21"/>
              </w:rPr>
            </w:pPr>
            <w:r>
              <w:rPr>
                <w:rFonts w:ascii="宋体" w:hAnsi="宋体" w:cs="宋体"/>
                <w:sz w:val="21"/>
                <w:szCs w:val="21"/>
              </w:rPr>
            </w:r>
            <w:r/>
          </w:p>
        </w:tc>
      </w:tr>
    </w:tbl>
    <w:p>
      <w:pPr>
        <w:pStyle w:val="840"/>
        <w:ind w:firstLine="480"/>
        <w:rPr>
          <w:rFonts w:ascii="宋体" w:hAnsi="宋体"/>
          <w:szCs w:val="21"/>
        </w:rPr>
      </w:pPr>
      <w:r>
        <w:rPr>
          <w:rFonts w:ascii="宋体" w:hAnsi="宋体"/>
          <w:szCs w:val="21"/>
        </w:rPr>
        <w:t xml:space="preserve">                       </w:t>
      </w:r>
      <w:r/>
    </w:p>
    <w:p>
      <w:pPr>
        <w:pStyle w:val="840"/>
        <w:ind w:firstLine="480"/>
        <w:rPr>
          <w:rFonts w:ascii="宋体" w:hAnsi="宋体"/>
          <w:szCs w:val="21"/>
        </w:rPr>
      </w:pPr>
      <w:r>
        <w:rPr>
          <w:rFonts w:ascii="宋体" w:hAnsi="宋体"/>
          <w:szCs w:val="21"/>
        </w:rPr>
      </w:r>
      <w:r/>
    </w:p>
    <w:p>
      <w:pPr>
        <w:pStyle w:val="840"/>
        <w:ind w:firstLine="480"/>
        <w:rPr>
          <w:rFonts w:ascii="宋体" w:hAnsi="宋体"/>
          <w:szCs w:val="21"/>
        </w:rPr>
      </w:pPr>
      <w:r>
        <w:rPr>
          <w:rFonts w:ascii="宋体" w:hAnsi="宋体"/>
          <w:szCs w:val="21"/>
        </w:rPr>
      </w:r>
      <w:r/>
    </w:p>
    <w:p>
      <w:pPr>
        <w:pStyle w:val="840"/>
        <w:ind w:firstLine="480"/>
        <w:rPr>
          <w:rFonts w:ascii="宋体" w:hAnsi="宋体"/>
          <w:szCs w:val="21"/>
        </w:rPr>
      </w:pPr>
      <w:r>
        <w:rPr>
          <w:rFonts w:ascii="宋体" w:hAnsi="宋体"/>
          <w:szCs w:val="21"/>
        </w:rPr>
        <w:t xml:space="preserve">日期：  </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pStyle w:val="839"/>
        <w:numPr>
          <w:ilvl w:val="0"/>
          <w:numId w:val="0"/>
        </w:numPr>
        <w:jc w:val="both"/>
        <w:rPr>
          <w:rFonts w:ascii="宋体" w:hAnsi="宋体"/>
          <w:bCs w:val="0"/>
          <w:sz w:val="32"/>
          <w:szCs w:val="32"/>
        </w:rPr>
      </w:pPr>
      <w:r>
        <w:rPr>
          <w:rFonts w:ascii="宋体" w:hAnsi="宋体"/>
          <w:bCs w:val="0"/>
          <w:sz w:val="32"/>
          <w:szCs w:val="32"/>
        </w:rPr>
      </w:r>
      <w:r/>
    </w:p>
    <w:p>
      <w:pPr>
        <w:pStyle w:val="846"/>
        <w:ind w:firstLine="640"/>
        <w:rPr>
          <w:rFonts w:ascii="宋体" w:hAnsi="宋体"/>
          <w:sz w:val="32"/>
          <w:szCs w:val="32"/>
        </w:rPr>
      </w:pPr>
      <w:r>
        <w:rPr>
          <w:rFonts w:ascii="宋体" w:hAnsi="宋体"/>
          <w:sz w:val="32"/>
          <w:szCs w:val="32"/>
        </w:rPr>
      </w:r>
      <w:r/>
    </w:p>
    <w:p>
      <w:r>
        <w:br w:type="page" w:clear="all"/>
      </w:r>
      <w:r/>
    </w:p>
    <w:p>
      <w:r/>
      <w:bookmarkStart w:id="48" w:name="_Toc17891"/>
      <w:r/>
      <w:bookmarkStart w:id="49" w:name="_Toc20323"/>
      <w:r>
        <w:rPr>
          <w:rFonts w:hint="eastAsia"/>
        </w:rPr>
        <w:t xml:space="preserve">五、</w:t>
      </w:r>
      <w:bookmarkEnd w:id="48"/>
      <w:r/>
      <w:bookmarkEnd w:id="49"/>
      <w:r>
        <w:rPr>
          <w:rFonts w:hint="eastAsia"/>
        </w:rPr>
        <w:t xml:space="preserve">投标分项报价表</w:t>
      </w:r>
      <w:r/>
    </w:p>
    <w:tbl>
      <w:tblPr>
        <w:tblStyle w:val="799"/>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r>
              <w:rPr>
                <w:rFonts w:hint="eastAsia"/>
              </w:rPr>
              <w:t xml:space="preserve">序号</w:t>
            </w:r>
            <w:r/>
          </w:p>
        </w:tc>
        <w:tc>
          <w:tcPr>
            <w:tcW w:w="728" w:type="dxa"/>
            <w:vAlign w:val="center"/>
            <w:textDirection w:val="lrTb"/>
            <w:noWrap w:val="false"/>
          </w:tcPr>
          <w:p>
            <w:r>
              <w:rPr>
                <w:rFonts w:hint="eastAsia"/>
              </w:rPr>
              <w:t xml:space="preserve">1</w:t>
            </w:r>
            <w:r/>
          </w:p>
        </w:tc>
        <w:tc>
          <w:tcPr>
            <w:tcW w:w="728" w:type="dxa"/>
            <w:vAlign w:val="center"/>
            <w:textDirection w:val="lrTb"/>
            <w:noWrap w:val="false"/>
          </w:tcPr>
          <w:p>
            <w:r>
              <w:rPr>
                <w:rFonts w:hint="eastAsia"/>
              </w:rPr>
              <w:t xml:space="preserve">2</w:t>
            </w:r>
            <w:r/>
          </w:p>
        </w:tc>
        <w:tc>
          <w:tcPr>
            <w:tcW w:w="938" w:type="dxa"/>
            <w:vAlign w:val="center"/>
            <w:textDirection w:val="lrTb"/>
            <w:noWrap w:val="false"/>
          </w:tcPr>
          <w:p>
            <w:r>
              <w:rPr>
                <w:rFonts w:hint="eastAsia"/>
              </w:rPr>
              <w:t xml:space="preserve">3</w:t>
            </w:r>
            <w:r/>
          </w:p>
        </w:tc>
        <w:tc>
          <w:tcPr>
            <w:tcW w:w="980" w:type="dxa"/>
            <w:vAlign w:val="center"/>
            <w:textDirection w:val="lrTb"/>
            <w:noWrap w:val="false"/>
          </w:tcPr>
          <w:p>
            <w:r>
              <w:rPr>
                <w:rFonts w:hint="eastAsia"/>
              </w:rPr>
              <w:t xml:space="preserve">4</w:t>
            </w:r>
            <w:r/>
          </w:p>
        </w:tc>
        <w:tc>
          <w:tcPr>
            <w:tcW w:w="1106" w:type="dxa"/>
            <w:vAlign w:val="center"/>
            <w:textDirection w:val="lrTb"/>
            <w:noWrap w:val="false"/>
          </w:tcPr>
          <w:p>
            <w:r>
              <w:t xml:space="preserve">5</w:t>
            </w:r>
            <w:r/>
          </w:p>
        </w:tc>
        <w:tc>
          <w:tcPr>
            <w:tcW w:w="1385" w:type="dxa"/>
            <w:vAlign w:val="center"/>
            <w:textDirection w:val="lrTb"/>
            <w:noWrap w:val="false"/>
          </w:tcPr>
          <w:p>
            <w:r>
              <w:rPr>
                <w:rFonts w:hint="eastAsia"/>
              </w:rPr>
              <w:t xml:space="preserve">6</w:t>
            </w:r>
            <w:r/>
          </w:p>
        </w:tc>
        <w:tc>
          <w:tcPr>
            <w:tcW w:w="924" w:type="dxa"/>
            <w:vAlign w:val="center"/>
            <w:textDirection w:val="lrTb"/>
            <w:noWrap w:val="false"/>
          </w:tcPr>
          <w:p>
            <w:r>
              <w:rPr>
                <w:rFonts w:hint="eastAsia"/>
              </w:rPr>
              <w:t xml:space="preserve">7</w:t>
            </w:r>
            <w:r/>
          </w:p>
        </w:tc>
        <w:tc>
          <w:tcPr>
            <w:tcW w:w="1008" w:type="dxa"/>
            <w:vAlign w:val="center"/>
            <w:textDirection w:val="lrTb"/>
            <w:noWrap w:val="false"/>
          </w:tcPr>
          <w:p>
            <w:r>
              <w:rPr>
                <w:rFonts w:hint="eastAsia"/>
              </w:rPr>
              <w:t xml:space="preserve">8</w:t>
            </w:r>
            <w:r/>
          </w:p>
        </w:tc>
        <w:tc>
          <w:tcPr>
            <w:tcW w:w="966" w:type="dxa"/>
            <w:vAlign w:val="center"/>
            <w:textDirection w:val="lrTb"/>
            <w:noWrap w:val="false"/>
          </w:tcPr>
          <w:p>
            <w:r>
              <w:rPr>
                <w:rFonts w:hint="eastAsia"/>
              </w:rPr>
              <w:t xml:space="preserve">9</w:t>
            </w:r>
            <w:r/>
          </w:p>
        </w:tc>
      </w:tr>
      <w:tr>
        <w:trPr>
          <w:cantSplit/>
          <w:trHeight w:val="294"/>
        </w:trPr>
        <w:tc>
          <w:tcPr>
            <w:tcW w:w="500" w:type="dxa"/>
            <w:vAlign w:val="center"/>
            <w:textDirection w:val="lrTb"/>
            <w:noWrap w:val="false"/>
          </w:tcPr>
          <w:p>
            <w:r>
              <w:rPr>
                <w:rFonts w:hint="eastAsia"/>
              </w:rPr>
              <w:t xml:space="preserve">1</w:t>
            </w:r>
            <w:r/>
          </w:p>
        </w:tc>
        <w:tc>
          <w:tcPr>
            <w:tcW w:w="728" w:type="dxa"/>
            <w:vAlign w:val="center"/>
            <w:textDirection w:val="lrTb"/>
            <w:noWrap w:val="false"/>
          </w:tcPr>
          <w:p>
            <w:r>
              <w:rPr>
                <w:rFonts w:hint="eastAsia"/>
              </w:rPr>
              <w:t xml:space="preserve">产品</w:t>
            </w:r>
            <w:r/>
          </w:p>
          <w:p>
            <w:r>
              <w:rPr>
                <w:rFonts w:hint="eastAsia"/>
              </w:rPr>
              <w:t xml:space="preserve">名称</w:t>
            </w:r>
            <w:r/>
          </w:p>
        </w:tc>
        <w:tc>
          <w:tcPr>
            <w:tcW w:w="728" w:type="dxa"/>
            <w:vAlign w:val="center"/>
            <w:textDirection w:val="lrTb"/>
            <w:noWrap w:val="false"/>
          </w:tcPr>
          <w:p>
            <w:r>
              <w:rPr>
                <w:rFonts w:hint="eastAsia"/>
              </w:rPr>
              <w:t xml:space="preserve">品牌</w:t>
            </w:r>
            <w:r/>
          </w:p>
        </w:tc>
        <w:tc>
          <w:tcPr>
            <w:tcW w:w="938" w:type="dxa"/>
            <w:vAlign w:val="center"/>
            <w:textDirection w:val="lrTb"/>
            <w:noWrap w:val="false"/>
          </w:tcPr>
          <w:p>
            <w:r>
              <w:rPr>
                <w:rFonts w:hint="eastAsia"/>
              </w:rPr>
              <w:t xml:space="preserve">规格</w:t>
            </w:r>
            <w:r/>
          </w:p>
          <w:p>
            <w:r>
              <w:rPr>
                <w:rFonts w:hint="eastAsia"/>
              </w:rPr>
              <w:t xml:space="preserve">型号</w:t>
            </w:r>
            <w:r/>
          </w:p>
        </w:tc>
        <w:tc>
          <w:tcPr>
            <w:tcW w:w="980" w:type="dxa"/>
            <w:vAlign w:val="center"/>
            <w:textDirection w:val="lrTb"/>
            <w:noWrap w:val="false"/>
          </w:tcPr>
          <w:p>
            <w:r>
              <w:rPr>
                <w:rFonts w:hint="eastAsia"/>
              </w:rPr>
              <w:t xml:space="preserve">制造商名称</w:t>
            </w:r>
            <w:r/>
          </w:p>
        </w:tc>
        <w:tc>
          <w:tcPr>
            <w:tcW w:w="1106" w:type="dxa"/>
            <w:vAlign w:val="center"/>
            <w:textDirection w:val="lrTb"/>
            <w:noWrap w:val="false"/>
          </w:tcPr>
          <w:p>
            <w:r>
              <w:rPr>
                <w:rFonts w:hint="eastAsia"/>
              </w:rPr>
              <w:t xml:space="preserve">产地</w:t>
            </w:r>
            <w:r/>
          </w:p>
        </w:tc>
        <w:tc>
          <w:tcPr>
            <w:tcW w:w="1385" w:type="dxa"/>
            <w:vAlign w:val="center"/>
            <w:textDirection w:val="lrTb"/>
            <w:noWrap w:val="false"/>
          </w:tcPr>
          <w:p>
            <w:r>
              <w:rPr>
                <w:rFonts w:hint="eastAsia"/>
              </w:rPr>
              <w:t xml:space="preserve">交付期</w:t>
            </w:r>
            <w:r/>
          </w:p>
        </w:tc>
        <w:tc>
          <w:tcPr>
            <w:tcW w:w="924" w:type="dxa"/>
            <w:vAlign w:val="center"/>
            <w:textDirection w:val="lrTb"/>
            <w:noWrap w:val="false"/>
          </w:tcPr>
          <w:p>
            <w:r>
              <w:rPr>
                <w:rFonts w:hint="eastAsia"/>
              </w:rPr>
              <w:t xml:space="preserve">数量</w:t>
            </w:r>
            <w:r/>
          </w:p>
        </w:tc>
        <w:tc>
          <w:tcPr>
            <w:tcW w:w="1008" w:type="dxa"/>
            <w:vAlign w:val="center"/>
            <w:textDirection w:val="lrTb"/>
            <w:noWrap w:val="false"/>
          </w:tcPr>
          <w:p>
            <w:r>
              <w:rPr>
                <w:rFonts w:hint="eastAsia"/>
              </w:rPr>
              <w:t xml:space="preserve">分项</w:t>
            </w:r>
            <w:r/>
          </w:p>
          <w:p>
            <w:r>
              <w:rPr>
                <w:rFonts w:hint="eastAsia"/>
              </w:rPr>
              <w:t xml:space="preserve">单价</w:t>
            </w:r>
            <w:r/>
          </w:p>
        </w:tc>
        <w:tc>
          <w:tcPr>
            <w:tcW w:w="966" w:type="dxa"/>
            <w:vAlign w:val="center"/>
            <w:textDirection w:val="lrTb"/>
            <w:noWrap w:val="false"/>
          </w:tcPr>
          <w:p>
            <w:r>
              <w:rPr>
                <w:rFonts w:hint="eastAsia"/>
              </w:rPr>
              <w:t xml:space="preserve">分项</w:t>
            </w:r>
            <w:r/>
          </w:p>
          <w:p>
            <w:r>
              <w:rPr>
                <w:rFonts w:hint="eastAsia"/>
              </w:rPr>
              <w:t xml:space="preserve">总价</w:t>
            </w:r>
            <w:r/>
          </w:p>
        </w:tc>
      </w:tr>
      <w:tr>
        <w:trPr>
          <w:cantSplit/>
          <w:trHeight w:val="696"/>
        </w:trPr>
        <w:tc>
          <w:tcPr>
            <w:tcW w:w="500" w:type="dxa"/>
            <w:vAlign w:val="center"/>
            <w:textDirection w:val="lrTb"/>
            <w:noWrap w:val="false"/>
          </w:tcPr>
          <w:p>
            <w:r>
              <w:rPr>
                <w:rFonts w:hint="eastAsia"/>
              </w:rPr>
              <w:t xml:space="preserve">2</w:t>
            </w:r>
            <w:r/>
          </w:p>
        </w:tc>
        <w:tc>
          <w:tcPr>
            <w:tcW w:w="728" w:type="dxa"/>
            <w:vAlign w:val="center"/>
            <w:textDirection w:val="lrTb"/>
            <w:noWrap w:val="false"/>
          </w:tcPr>
          <w:p>
            <w:r/>
            <w:r/>
          </w:p>
        </w:tc>
        <w:tc>
          <w:tcPr>
            <w:tcW w:w="728" w:type="dxa"/>
            <w:vAlign w:val="center"/>
            <w:textDirection w:val="lrTb"/>
            <w:noWrap w:val="false"/>
          </w:tcPr>
          <w:p>
            <w:r/>
            <w:r/>
          </w:p>
        </w:tc>
        <w:tc>
          <w:tcPr>
            <w:tcW w:w="938" w:type="dxa"/>
            <w:vAlign w:val="center"/>
            <w:textDirection w:val="lrTb"/>
            <w:noWrap w:val="false"/>
          </w:tcPr>
          <w:p>
            <w:r/>
            <w:r/>
          </w:p>
        </w:tc>
        <w:tc>
          <w:tcPr>
            <w:tcW w:w="980" w:type="dxa"/>
            <w:vAlign w:val="center"/>
            <w:textDirection w:val="lrTb"/>
            <w:noWrap w:val="false"/>
          </w:tcPr>
          <w:p>
            <w:r/>
            <w:r/>
          </w:p>
        </w:tc>
        <w:tc>
          <w:tcPr>
            <w:tcW w:w="1106" w:type="dxa"/>
            <w:textDirection w:val="lrTb"/>
            <w:noWrap w:val="false"/>
          </w:tcPr>
          <w:p>
            <w:r/>
            <w:r/>
          </w:p>
        </w:tc>
        <w:tc>
          <w:tcPr>
            <w:tcW w:w="1385" w:type="dxa"/>
            <w:vAlign w:val="center"/>
            <w:textDirection w:val="lrTb"/>
            <w:noWrap w:val="false"/>
          </w:tcPr>
          <w:p>
            <w:pPr>
              <w:rPr>
                <w:u w:val="single"/>
              </w:rPr>
            </w:pPr>
            <w:r>
              <w:rPr>
                <w:rFonts w:hint="eastAsia"/>
              </w:rPr>
              <w:t xml:space="preserve">合同签订后</w:t>
            </w:r>
            <w:r>
              <w:rPr>
                <w:rFonts w:hint="eastAsia"/>
                <w:u w:val="single"/>
              </w:rPr>
              <w:t xml:space="preserve">  </w:t>
            </w:r>
            <w:r>
              <w:rPr>
                <w:rFonts w:hint="eastAsia"/>
              </w:rPr>
              <w:t xml:space="preserve">日</w:t>
            </w:r>
            <w:r/>
          </w:p>
        </w:tc>
        <w:tc>
          <w:tcPr>
            <w:tcW w:w="924" w:type="dxa"/>
            <w:vAlign w:val="center"/>
            <w:textDirection w:val="lrTb"/>
            <w:noWrap w:val="false"/>
          </w:tcPr>
          <w:p>
            <w:r/>
            <w:r/>
          </w:p>
        </w:tc>
        <w:tc>
          <w:tcPr>
            <w:tcW w:w="1008" w:type="dxa"/>
            <w:vAlign w:val="center"/>
            <w:textDirection w:val="lrTb"/>
            <w:noWrap w:val="false"/>
          </w:tcPr>
          <w:p>
            <w:r/>
            <w:r/>
          </w:p>
        </w:tc>
        <w:tc>
          <w:tcPr>
            <w:tcW w:w="966" w:type="dxa"/>
            <w:vAlign w:val="center"/>
            <w:textDirection w:val="lrTb"/>
            <w:noWrap w:val="false"/>
          </w:tcPr>
          <w:p>
            <w:r/>
            <w:r/>
          </w:p>
        </w:tc>
      </w:tr>
      <w:tr>
        <w:trPr>
          <w:cantSplit/>
          <w:trHeight w:val="724"/>
        </w:trPr>
        <w:tc>
          <w:tcPr>
            <w:tcW w:w="500" w:type="dxa"/>
            <w:vAlign w:val="center"/>
            <w:textDirection w:val="lrTb"/>
            <w:noWrap w:val="false"/>
          </w:tcPr>
          <w:p>
            <w:r>
              <w:rPr>
                <w:rFonts w:hint="eastAsia"/>
              </w:rPr>
              <w:t xml:space="preserve">3</w:t>
            </w:r>
            <w:r/>
          </w:p>
        </w:tc>
        <w:tc>
          <w:tcPr>
            <w:tcW w:w="728" w:type="dxa"/>
            <w:vAlign w:val="center"/>
            <w:textDirection w:val="lrTb"/>
            <w:noWrap w:val="false"/>
          </w:tcPr>
          <w:p>
            <w:r/>
            <w:r/>
          </w:p>
        </w:tc>
        <w:tc>
          <w:tcPr>
            <w:tcW w:w="728" w:type="dxa"/>
            <w:vAlign w:val="center"/>
            <w:textDirection w:val="lrTb"/>
            <w:noWrap w:val="false"/>
          </w:tcPr>
          <w:p>
            <w:r/>
            <w:r/>
          </w:p>
        </w:tc>
        <w:tc>
          <w:tcPr>
            <w:tcW w:w="938" w:type="dxa"/>
            <w:vAlign w:val="center"/>
            <w:textDirection w:val="lrTb"/>
            <w:noWrap w:val="false"/>
          </w:tcPr>
          <w:p>
            <w:r/>
            <w:r/>
          </w:p>
        </w:tc>
        <w:tc>
          <w:tcPr>
            <w:tcW w:w="980" w:type="dxa"/>
            <w:vAlign w:val="center"/>
            <w:textDirection w:val="lrTb"/>
            <w:noWrap w:val="false"/>
          </w:tcPr>
          <w:p>
            <w:r/>
            <w:r/>
          </w:p>
        </w:tc>
        <w:tc>
          <w:tcPr>
            <w:tcW w:w="1106" w:type="dxa"/>
            <w:textDirection w:val="lrTb"/>
            <w:noWrap w:val="false"/>
          </w:tcPr>
          <w:p>
            <w:r/>
            <w:r/>
          </w:p>
        </w:tc>
        <w:tc>
          <w:tcPr>
            <w:tcW w:w="1385" w:type="dxa"/>
            <w:vAlign w:val="center"/>
            <w:textDirection w:val="lrTb"/>
            <w:noWrap w:val="false"/>
          </w:tcPr>
          <w:p>
            <w:r/>
            <w:r/>
          </w:p>
        </w:tc>
        <w:tc>
          <w:tcPr>
            <w:tcW w:w="924" w:type="dxa"/>
            <w:vAlign w:val="center"/>
            <w:textDirection w:val="lrTb"/>
            <w:noWrap w:val="false"/>
          </w:tcPr>
          <w:p>
            <w:r/>
            <w:r/>
          </w:p>
        </w:tc>
        <w:tc>
          <w:tcPr>
            <w:tcW w:w="1008" w:type="dxa"/>
            <w:vAlign w:val="center"/>
            <w:textDirection w:val="lrTb"/>
            <w:noWrap w:val="false"/>
          </w:tcPr>
          <w:p>
            <w:r/>
            <w:r/>
          </w:p>
        </w:tc>
        <w:tc>
          <w:tcPr>
            <w:tcW w:w="966" w:type="dxa"/>
            <w:vAlign w:val="center"/>
            <w:textDirection w:val="lrTb"/>
            <w:noWrap w:val="false"/>
          </w:tcPr>
          <w:p>
            <w:r/>
            <w:r/>
          </w:p>
        </w:tc>
      </w:tr>
      <w:tr>
        <w:trPr>
          <w:cantSplit/>
          <w:trHeight w:val="640"/>
        </w:trPr>
        <w:tc>
          <w:tcPr>
            <w:tcW w:w="500" w:type="dxa"/>
            <w:vAlign w:val="center"/>
            <w:textDirection w:val="lrTb"/>
            <w:noWrap w:val="false"/>
          </w:tcPr>
          <w:p>
            <w:r>
              <w:rPr>
                <w:rFonts w:hint="eastAsia"/>
              </w:rPr>
              <w:t xml:space="preserve">4</w:t>
            </w:r>
            <w:r/>
          </w:p>
        </w:tc>
        <w:tc>
          <w:tcPr>
            <w:tcW w:w="728" w:type="dxa"/>
            <w:vAlign w:val="center"/>
            <w:textDirection w:val="lrTb"/>
            <w:noWrap w:val="false"/>
          </w:tcPr>
          <w:p>
            <w:r/>
            <w:r/>
          </w:p>
        </w:tc>
        <w:tc>
          <w:tcPr>
            <w:tcW w:w="728" w:type="dxa"/>
            <w:vAlign w:val="center"/>
            <w:textDirection w:val="lrTb"/>
            <w:noWrap w:val="false"/>
          </w:tcPr>
          <w:p>
            <w:r/>
            <w:r/>
          </w:p>
        </w:tc>
        <w:tc>
          <w:tcPr>
            <w:tcW w:w="938" w:type="dxa"/>
            <w:vAlign w:val="center"/>
            <w:textDirection w:val="lrTb"/>
            <w:noWrap w:val="false"/>
          </w:tcPr>
          <w:p>
            <w:r/>
            <w:r/>
          </w:p>
        </w:tc>
        <w:tc>
          <w:tcPr>
            <w:tcW w:w="980" w:type="dxa"/>
            <w:vAlign w:val="center"/>
            <w:textDirection w:val="lrTb"/>
            <w:noWrap w:val="false"/>
          </w:tcPr>
          <w:p>
            <w:r/>
            <w:r/>
          </w:p>
        </w:tc>
        <w:tc>
          <w:tcPr>
            <w:tcW w:w="1106" w:type="dxa"/>
            <w:textDirection w:val="lrTb"/>
            <w:noWrap w:val="false"/>
          </w:tcPr>
          <w:p>
            <w:r/>
            <w:r/>
          </w:p>
        </w:tc>
        <w:tc>
          <w:tcPr>
            <w:tcW w:w="1385" w:type="dxa"/>
            <w:vAlign w:val="center"/>
            <w:textDirection w:val="lrTb"/>
            <w:noWrap w:val="false"/>
          </w:tcPr>
          <w:p>
            <w:r/>
            <w:r/>
          </w:p>
        </w:tc>
        <w:tc>
          <w:tcPr>
            <w:tcW w:w="924" w:type="dxa"/>
            <w:vAlign w:val="center"/>
            <w:textDirection w:val="lrTb"/>
            <w:noWrap w:val="false"/>
          </w:tcPr>
          <w:p>
            <w:r/>
            <w:r/>
          </w:p>
        </w:tc>
        <w:tc>
          <w:tcPr>
            <w:tcW w:w="1008" w:type="dxa"/>
            <w:vAlign w:val="center"/>
            <w:textDirection w:val="lrTb"/>
            <w:noWrap w:val="false"/>
          </w:tcPr>
          <w:p>
            <w:r/>
            <w:r/>
          </w:p>
        </w:tc>
        <w:tc>
          <w:tcPr>
            <w:tcW w:w="966" w:type="dxa"/>
            <w:vAlign w:val="center"/>
            <w:textDirection w:val="lrTb"/>
            <w:noWrap w:val="false"/>
          </w:tcPr>
          <w:p>
            <w:r/>
            <w:r/>
          </w:p>
        </w:tc>
      </w:tr>
      <w:tr>
        <w:trPr>
          <w:cantSplit/>
          <w:trHeight w:val="580"/>
        </w:trPr>
        <w:tc>
          <w:tcPr>
            <w:tcW w:w="500" w:type="dxa"/>
            <w:vAlign w:val="center"/>
            <w:textDirection w:val="lrTb"/>
            <w:noWrap w:val="false"/>
          </w:tcPr>
          <w:p>
            <w:r>
              <w:t xml:space="preserve">…</w:t>
            </w:r>
            <w:r/>
          </w:p>
        </w:tc>
        <w:tc>
          <w:tcPr>
            <w:tcW w:w="728" w:type="dxa"/>
            <w:vAlign w:val="center"/>
            <w:textDirection w:val="lrTb"/>
            <w:noWrap w:val="false"/>
          </w:tcPr>
          <w:p>
            <w:r>
              <w:t xml:space="preserve">……</w:t>
            </w:r>
            <w:r/>
          </w:p>
        </w:tc>
        <w:tc>
          <w:tcPr>
            <w:tcW w:w="728" w:type="dxa"/>
            <w:vAlign w:val="center"/>
            <w:textDirection w:val="lrTb"/>
            <w:noWrap w:val="false"/>
          </w:tcPr>
          <w:p>
            <w:r/>
            <w:r/>
          </w:p>
        </w:tc>
        <w:tc>
          <w:tcPr>
            <w:tcW w:w="938" w:type="dxa"/>
            <w:vAlign w:val="center"/>
            <w:textDirection w:val="lrTb"/>
            <w:noWrap w:val="false"/>
          </w:tcPr>
          <w:p>
            <w:r/>
            <w:r/>
          </w:p>
        </w:tc>
        <w:tc>
          <w:tcPr>
            <w:tcW w:w="980" w:type="dxa"/>
            <w:vAlign w:val="center"/>
            <w:textDirection w:val="lrTb"/>
            <w:noWrap w:val="false"/>
          </w:tcPr>
          <w:p>
            <w:r/>
            <w:r/>
          </w:p>
        </w:tc>
        <w:tc>
          <w:tcPr>
            <w:tcW w:w="1106" w:type="dxa"/>
            <w:textDirection w:val="lrTb"/>
            <w:noWrap w:val="false"/>
          </w:tcPr>
          <w:p>
            <w:r/>
            <w:r/>
          </w:p>
        </w:tc>
        <w:tc>
          <w:tcPr>
            <w:tcW w:w="1385" w:type="dxa"/>
            <w:vAlign w:val="center"/>
            <w:textDirection w:val="lrTb"/>
            <w:noWrap w:val="false"/>
          </w:tcPr>
          <w:p>
            <w:r/>
            <w:r/>
          </w:p>
        </w:tc>
        <w:tc>
          <w:tcPr>
            <w:tcW w:w="924" w:type="dxa"/>
            <w:vAlign w:val="center"/>
            <w:textDirection w:val="lrTb"/>
            <w:noWrap w:val="false"/>
          </w:tcPr>
          <w:p>
            <w:r/>
            <w:r/>
          </w:p>
        </w:tc>
        <w:tc>
          <w:tcPr>
            <w:tcW w:w="1008" w:type="dxa"/>
            <w:vAlign w:val="center"/>
            <w:textDirection w:val="lrTb"/>
            <w:noWrap w:val="false"/>
          </w:tcPr>
          <w:p>
            <w:r/>
            <w:r/>
          </w:p>
        </w:tc>
        <w:tc>
          <w:tcPr>
            <w:tcW w:w="966" w:type="dxa"/>
            <w:vAlign w:val="center"/>
            <w:textDirection w:val="lrTb"/>
            <w:noWrap w:val="false"/>
          </w:tcPr>
          <w:p>
            <w:r/>
            <w:r/>
          </w:p>
        </w:tc>
      </w:tr>
      <w:tr>
        <w:trPr>
          <w:cantSplit/>
          <w:trHeight w:val="434"/>
        </w:trPr>
        <w:tc>
          <w:tcPr>
            <w:gridSpan w:val="10"/>
            <w:tcW w:w="9263" w:type="dxa"/>
            <w:textDirection w:val="lrTb"/>
            <w:noWrap w:val="false"/>
          </w:tcPr>
          <w:p>
            <w:r>
              <w:rPr>
                <w:rFonts w:hint="eastAsia"/>
              </w:rPr>
              <w:t xml:space="preserve">投标总报价（人民币：元）                             </w:t>
            </w:r>
            <w:r/>
          </w:p>
        </w:tc>
      </w:tr>
      <w:tr>
        <w:trPr>
          <w:cantSplit/>
          <w:trHeight w:val="434"/>
        </w:trPr>
        <w:tc>
          <w:tcPr>
            <w:gridSpan w:val="10"/>
            <w:tcW w:w="9263" w:type="dxa"/>
            <w:textDirection w:val="lrTb"/>
            <w:noWrap w:val="false"/>
          </w:tcPr>
          <w:p>
            <w:r>
              <w:rPr>
                <w:rFonts w:hint="eastAsia"/>
              </w:rPr>
              <w:t xml:space="preserve">本采购包中提供的符合本国产品标准的产品成本之和占该采购包提供的全部产品成本之和的比例为</w:t>
            </w:r>
            <w:r>
              <w:rPr>
                <w:rFonts w:hint="eastAsia"/>
                <w:u w:val="single"/>
              </w:rPr>
              <w:t xml:space="preserve">     </w:t>
            </w:r>
            <w:r>
              <w:rPr>
                <w:rFonts w:hint="eastAsia"/>
              </w:rPr>
              <w:t xml:space="preserve">%。</w:t>
            </w:r>
            <w:r/>
          </w:p>
        </w:tc>
      </w:tr>
    </w:tbl>
    <w:p>
      <w:r>
        <w:rPr>
          <w:rFonts w:hint="eastAsia"/>
        </w:rPr>
        <w:t xml:space="preserve">备注：</w:t>
      </w:r>
      <w:r/>
    </w:p>
    <w:p>
      <w:pPr>
        <w:pStyle w:val="1143"/>
        <w:numPr>
          <w:ilvl w:val="0"/>
          <w:numId w:val="7"/>
        </w:numPr>
        <w:ind w:firstLine="402"/>
      </w:pPr>
      <w:r>
        <w:rPr>
          <w:rFonts w:hint="eastAsia"/>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r>
        <w:rPr>
          <w:rFonts w:hint="eastAsia"/>
        </w:rPr>
        <w:t xml:space="preserve">2.“投标分项报价表”中“投标总报价”数额应当与“开标一览表”中“投标总报价”数额一致。</w:t>
      </w:r>
      <w:r/>
    </w:p>
    <w:p>
      <w:r>
        <w:rPr>
          <w:rFonts w:hint="eastAsia"/>
        </w:rPr>
        <w:t xml:space="preserve">3.投标人需认真填写本报价表，尤其注意规格型号的准确填写。</w:t>
      </w:r>
      <w:r/>
    </w:p>
    <w:p>
      <w:pPr>
        <w:rPr>
          <w:rFonts w:ascii="方正魏碑_GBK" w:hAnsi="方正魏碑_GBK" w:eastAsia="方正魏碑_GBK" w:cs="方正魏碑_GBK"/>
        </w:rPr>
      </w:pPr>
      <w:r>
        <w:rPr>
          <w:rFonts w:hint="eastAsia"/>
        </w:rPr>
        <w:t xml:space="preserve">4.项目经办人可以根据项目实际需要对表格结构进行调整</w:t>
      </w:r>
      <w:r>
        <w:rPr>
          <w:rFonts w:hint="eastAsia" w:ascii="宋体" w:hAnsi="宋体" w:cs="宋体"/>
        </w:rPr>
        <w:t xml:space="preserve">。</w:t>
      </w:r>
      <w:r/>
    </w:p>
    <w:p>
      <w:pPr>
        <w:rPr>
          <w:sz w:val="24"/>
          <w:szCs w:val="24"/>
        </w:rPr>
      </w:pPr>
      <w:r>
        <w:rPr>
          <w:rFonts w:hint="eastAsia"/>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sz w:val="24"/>
          <w:szCs w:val="24"/>
        </w:rPr>
        <w:t xml:space="preserve">。</w:t>
      </w:r>
      <w:r/>
    </w:p>
    <w:p>
      <w:pPr>
        <w:pStyle w:val="846"/>
        <w:ind w:left="420" w:firstLine="0"/>
      </w:pPr>
      <w:r/>
      <w:r/>
    </w:p>
    <w:p>
      <w:pPr>
        <w:pStyle w:val="839"/>
        <w:numPr>
          <w:ilvl w:val="0"/>
          <w:numId w:val="0"/>
        </w:numPr>
        <w:jc w:val="center"/>
        <w:spacing w:before="260" w:after="260" w:line="416" w:lineRule="auto"/>
        <w:rPr>
          <w:rFonts w:ascii="宋体" w:hAnsi="宋体"/>
          <w:bCs w:val="0"/>
          <w:sz w:val="32"/>
          <w:szCs w:val="32"/>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val="0"/>
          <w:sz w:val="32"/>
          <w:szCs w:val="32"/>
        </w:rPr>
      </w:r>
      <w:r/>
    </w:p>
    <w:p>
      <w:pPr>
        <w:pStyle w:val="839"/>
        <w:numPr>
          <w:ilvl w:val="0"/>
          <w:numId w:val="0"/>
        </w:numPr>
        <w:jc w:val="center"/>
        <w:spacing w:before="260" w:after="260" w:line="416" w:lineRule="auto"/>
        <w:rPr>
          <w:rFonts w:ascii="宋体" w:hAnsi="宋体"/>
          <w:bCs w:val="0"/>
          <w:sz w:val="32"/>
          <w:szCs w:val="32"/>
        </w:rPr>
      </w:pPr>
      <w:r>
        <w:rPr>
          <w:rFonts w:hint="eastAsia" w:ascii="宋体" w:hAnsi="宋体"/>
          <w:bCs w:val="0"/>
          <w:sz w:val="32"/>
          <w:szCs w:val="32"/>
        </w:rPr>
        <w:t xml:space="preserve">六</w:t>
      </w:r>
      <w:r>
        <w:rPr>
          <w:rFonts w:ascii="宋体" w:hAnsi="宋体"/>
          <w:bCs w:val="0"/>
          <w:sz w:val="32"/>
          <w:szCs w:val="32"/>
        </w:rPr>
        <w:t xml:space="preserve">、技术参数响应及偏离表</w:t>
      </w:r>
      <w:r/>
    </w:p>
    <w:tbl>
      <w:tblPr>
        <w:tblStyle w:val="79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536" w:type="pct"/>
            <w:vAlign w:val="center"/>
            <w:textDirection w:val="lrTb"/>
            <w:noWrap w:val="false"/>
          </w:tcPr>
          <w:p>
            <w:pPr>
              <w:pStyle w:val="840"/>
              <w:jc w:val="center"/>
              <w:rPr>
                <w:rFonts w:ascii="宋体" w:hAnsi="宋体"/>
                <w:szCs w:val="21"/>
              </w:rPr>
            </w:pPr>
            <w:r>
              <w:rPr>
                <w:rFonts w:ascii="宋体" w:hAnsi="宋体"/>
                <w:szCs w:val="21"/>
              </w:rPr>
              <w:t xml:space="preserve">序号</w:t>
            </w:r>
            <w:r/>
          </w:p>
        </w:tc>
        <w:tc>
          <w:tcPr>
            <w:tcW w:w="1555" w:type="pct"/>
            <w:vAlign w:val="center"/>
            <w:textDirection w:val="lrTb"/>
            <w:noWrap w:val="false"/>
          </w:tcPr>
          <w:p>
            <w:pPr>
              <w:pStyle w:val="840"/>
              <w:jc w:val="center"/>
              <w:rPr>
                <w:rFonts w:ascii="宋体" w:hAnsi="宋体"/>
                <w:szCs w:val="21"/>
              </w:rPr>
            </w:pPr>
            <w:r>
              <w:rPr>
                <w:rFonts w:ascii="宋体" w:hAnsi="宋体"/>
                <w:szCs w:val="21"/>
              </w:rPr>
              <w:t xml:space="preserve">招标要求</w:t>
            </w:r>
            <w:r/>
          </w:p>
        </w:tc>
        <w:tc>
          <w:tcPr>
            <w:tcW w:w="1555" w:type="pct"/>
            <w:vAlign w:val="center"/>
            <w:textDirection w:val="lrTb"/>
            <w:noWrap w:val="false"/>
          </w:tcPr>
          <w:p>
            <w:pPr>
              <w:pStyle w:val="840"/>
              <w:jc w:val="center"/>
              <w:rPr>
                <w:rFonts w:ascii="宋体" w:hAnsi="宋体"/>
                <w:szCs w:val="21"/>
              </w:rPr>
            </w:pPr>
            <w:r>
              <w:rPr>
                <w:rFonts w:ascii="宋体" w:hAnsi="宋体"/>
                <w:szCs w:val="21"/>
              </w:rPr>
              <w:t xml:space="preserve">投标响应</w:t>
            </w:r>
            <w:r/>
          </w:p>
        </w:tc>
        <w:tc>
          <w:tcPr>
            <w:tcW w:w="713" w:type="pct"/>
            <w:vAlign w:val="center"/>
            <w:textDirection w:val="lrTb"/>
            <w:noWrap w:val="false"/>
          </w:tcPr>
          <w:p>
            <w:pPr>
              <w:pStyle w:val="840"/>
              <w:jc w:val="center"/>
              <w:rPr>
                <w:rFonts w:ascii="宋体" w:hAnsi="宋体"/>
                <w:szCs w:val="21"/>
              </w:rPr>
            </w:pPr>
            <w:r>
              <w:rPr>
                <w:rFonts w:ascii="宋体" w:hAnsi="宋体"/>
                <w:szCs w:val="21"/>
              </w:rPr>
              <w:t xml:space="preserve">超出、符合或偏离</w:t>
            </w:r>
            <w:r/>
          </w:p>
        </w:tc>
        <w:tc>
          <w:tcPr>
            <w:tcW w:w="639" w:type="pct"/>
            <w:vAlign w:val="center"/>
            <w:textDirection w:val="lrTb"/>
            <w:noWrap w:val="false"/>
          </w:tcPr>
          <w:p>
            <w:pPr>
              <w:pStyle w:val="840"/>
              <w:jc w:val="center"/>
              <w:rPr>
                <w:rFonts w:ascii="宋体" w:hAnsi="宋体"/>
                <w:szCs w:val="21"/>
              </w:rPr>
            </w:pPr>
            <w:r>
              <w:rPr>
                <w:rFonts w:ascii="宋体" w:hAnsi="宋体"/>
                <w:szCs w:val="21"/>
              </w:rPr>
              <w:t xml:space="preserve">证明材料</w:t>
            </w:r>
            <w:r/>
          </w:p>
        </w:tc>
      </w:tr>
      <w:tr>
        <w:trPr>
          <w:cantSplit/>
          <w:trHeight w:val="640"/>
        </w:trPr>
        <w:tc>
          <w:tcPr>
            <w:tcW w:w="536"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713" w:type="pct"/>
            <w:textDirection w:val="lrTb"/>
            <w:noWrap w:val="false"/>
          </w:tcPr>
          <w:p>
            <w:pPr>
              <w:pStyle w:val="840"/>
              <w:jc w:val="center"/>
              <w:rPr>
                <w:rFonts w:ascii="宋体" w:hAnsi="宋体"/>
                <w:szCs w:val="21"/>
              </w:rPr>
            </w:pPr>
            <w:r>
              <w:rPr>
                <w:rFonts w:ascii="宋体" w:hAnsi="宋体"/>
                <w:szCs w:val="21"/>
              </w:rPr>
            </w:r>
            <w:r/>
          </w:p>
        </w:tc>
        <w:tc>
          <w:tcPr>
            <w:tcW w:w="639" w:type="pct"/>
            <w:textDirection w:val="lrTb"/>
            <w:noWrap w:val="false"/>
          </w:tcPr>
          <w:p>
            <w:pPr>
              <w:pStyle w:val="840"/>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713" w:type="pct"/>
            <w:textDirection w:val="lrTb"/>
            <w:noWrap w:val="false"/>
          </w:tcPr>
          <w:p>
            <w:pPr>
              <w:pStyle w:val="840"/>
              <w:jc w:val="center"/>
              <w:rPr>
                <w:rFonts w:ascii="宋体" w:hAnsi="宋体"/>
                <w:szCs w:val="21"/>
              </w:rPr>
            </w:pPr>
            <w:r>
              <w:rPr>
                <w:rFonts w:ascii="宋体" w:hAnsi="宋体"/>
                <w:szCs w:val="21"/>
              </w:rPr>
            </w:r>
            <w:r/>
          </w:p>
        </w:tc>
        <w:tc>
          <w:tcPr>
            <w:tcW w:w="639" w:type="pct"/>
            <w:textDirection w:val="lrTb"/>
            <w:noWrap w:val="false"/>
          </w:tcPr>
          <w:p>
            <w:pPr>
              <w:pStyle w:val="840"/>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713" w:type="pct"/>
            <w:textDirection w:val="lrTb"/>
            <w:noWrap w:val="false"/>
          </w:tcPr>
          <w:p>
            <w:pPr>
              <w:pStyle w:val="840"/>
              <w:jc w:val="center"/>
              <w:rPr>
                <w:rFonts w:ascii="宋体" w:hAnsi="宋体"/>
                <w:szCs w:val="21"/>
              </w:rPr>
            </w:pPr>
            <w:r>
              <w:rPr>
                <w:rFonts w:ascii="宋体" w:hAnsi="宋体"/>
                <w:szCs w:val="21"/>
              </w:rPr>
            </w:r>
            <w:r/>
          </w:p>
        </w:tc>
        <w:tc>
          <w:tcPr>
            <w:tcW w:w="639" w:type="pct"/>
            <w:textDirection w:val="lrTb"/>
            <w:noWrap w:val="false"/>
          </w:tcPr>
          <w:p>
            <w:pPr>
              <w:pStyle w:val="840"/>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713" w:type="pct"/>
            <w:textDirection w:val="lrTb"/>
            <w:noWrap w:val="false"/>
          </w:tcPr>
          <w:p>
            <w:pPr>
              <w:pStyle w:val="840"/>
              <w:jc w:val="center"/>
              <w:rPr>
                <w:rFonts w:ascii="宋体" w:hAnsi="宋体"/>
                <w:szCs w:val="21"/>
              </w:rPr>
            </w:pPr>
            <w:r>
              <w:rPr>
                <w:rFonts w:ascii="宋体" w:hAnsi="宋体"/>
                <w:szCs w:val="21"/>
              </w:rPr>
            </w:r>
            <w:r/>
          </w:p>
        </w:tc>
        <w:tc>
          <w:tcPr>
            <w:tcW w:w="639" w:type="pct"/>
            <w:textDirection w:val="lrTb"/>
            <w:noWrap w:val="false"/>
          </w:tcPr>
          <w:p>
            <w:pPr>
              <w:pStyle w:val="840"/>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713" w:type="pct"/>
            <w:textDirection w:val="lrTb"/>
            <w:noWrap w:val="false"/>
          </w:tcPr>
          <w:p>
            <w:pPr>
              <w:pStyle w:val="840"/>
              <w:jc w:val="center"/>
              <w:rPr>
                <w:rFonts w:ascii="宋体" w:hAnsi="宋体"/>
                <w:szCs w:val="21"/>
              </w:rPr>
            </w:pPr>
            <w:r>
              <w:rPr>
                <w:rFonts w:ascii="宋体" w:hAnsi="宋体"/>
                <w:szCs w:val="21"/>
              </w:rPr>
            </w:r>
            <w:r/>
          </w:p>
        </w:tc>
        <w:tc>
          <w:tcPr>
            <w:tcW w:w="639" w:type="pct"/>
            <w:textDirection w:val="lrTb"/>
            <w:noWrap w:val="false"/>
          </w:tcPr>
          <w:p>
            <w:pPr>
              <w:pStyle w:val="840"/>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713" w:type="pct"/>
            <w:textDirection w:val="lrTb"/>
            <w:noWrap w:val="false"/>
          </w:tcPr>
          <w:p>
            <w:pPr>
              <w:pStyle w:val="840"/>
              <w:jc w:val="center"/>
              <w:rPr>
                <w:rFonts w:ascii="宋体" w:hAnsi="宋体"/>
                <w:szCs w:val="21"/>
              </w:rPr>
            </w:pPr>
            <w:r>
              <w:rPr>
                <w:rFonts w:ascii="宋体" w:hAnsi="宋体"/>
                <w:szCs w:val="21"/>
              </w:rPr>
            </w:r>
            <w:r/>
          </w:p>
        </w:tc>
        <w:tc>
          <w:tcPr>
            <w:tcW w:w="639" w:type="pct"/>
            <w:textDirection w:val="lrTb"/>
            <w:noWrap w:val="false"/>
          </w:tcPr>
          <w:p>
            <w:pPr>
              <w:pStyle w:val="840"/>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713" w:type="pct"/>
            <w:textDirection w:val="lrTb"/>
            <w:noWrap w:val="false"/>
          </w:tcPr>
          <w:p>
            <w:pPr>
              <w:pStyle w:val="840"/>
              <w:jc w:val="center"/>
              <w:rPr>
                <w:rFonts w:ascii="宋体" w:hAnsi="宋体"/>
                <w:szCs w:val="21"/>
              </w:rPr>
            </w:pPr>
            <w:r>
              <w:rPr>
                <w:rFonts w:ascii="宋体" w:hAnsi="宋体"/>
                <w:szCs w:val="21"/>
              </w:rPr>
            </w:r>
            <w:r/>
          </w:p>
        </w:tc>
        <w:tc>
          <w:tcPr>
            <w:tcW w:w="639" w:type="pct"/>
            <w:textDirection w:val="lrTb"/>
            <w:noWrap w:val="false"/>
          </w:tcPr>
          <w:p>
            <w:pPr>
              <w:pStyle w:val="840"/>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1555" w:type="pct"/>
            <w:textDirection w:val="lrTb"/>
            <w:noWrap w:val="false"/>
          </w:tcPr>
          <w:p>
            <w:pPr>
              <w:pStyle w:val="840"/>
              <w:jc w:val="center"/>
              <w:rPr>
                <w:rFonts w:ascii="宋体" w:hAnsi="宋体"/>
                <w:szCs w:val="21"/>
              </w:rPr>
            </w:pPr>
            <w:r>
              <w:rPr>
                <w:rFonts w:ascii="宋体" w:hAnsi="宋体"/>
                <w:szCs w:val="21"/>
              </w:rPr>
            </w:r>
            <w:r/>
          </w:p>
        </w:tc>
        <w:tc>
          <w:tcPr>
            <w:tcW w:w="713" w:type="pct"/>
            <w:textDirection w:val="lrTb"/>
            <w:noWrap w:val="false"/>
          </w:tcPr>
          <w:p>
            <w:pPr>
              <w:pStyle w:val="840"/>
              <w:jc w:val="center"/>
              <w:rPr>
                <w:rFonts w:ascii="宋体" w:hAnsi="宋体"/>
                <w:szCs w:val="21"/>
              </w:rPr>
            </w:pPr>
            <w:r>
              <w:rPr>
                <w:rFonts w:ascii="宋体" w:hAnsi="宋体"/>
                <w:szCs w:val="21"/>
              </w:rPr>
            </w:r>
            <w:r/>
          </w:p>
        </w:tc>
        <w:tc>
          <w:tcPr>
            <w:tcW w:w="639" w:type="pct"/>
            <w:textDirection w:val="lrTb"/>
            <w:noWrap w:val="false"/>
          </w:tcPr>
          <w:p>
            <w:pPr>
              <w:pStyle w:val="840"/>
              <w:jc w:val="center"/>
              <w:rPr>
                <w:rFonts w:ascii="宋体" w:hAnsi="宋体"/>
                <w:szCs w:val="21"/>
              </w:rPr>
            </w:pPr>
            <w:r>
              <w:rPr>
                <w:rFonts w:ascii="宋体" w:hAnsi="宋体"/>
                <w:szCs w:val="21"/>
              </w:rPr>
            </w:r>
            <w:r/>
          </w:p>
        </w:tc>
      </w:tr>
    </w:tbl>
    <w:p>
      <w:pPr>
        <w:pStyle w:val="840"/>
        <w:rPr>
          <w:rFonts w:ascii="宋体" w:hAnsi="宋体"/>
          <w:sz w:val="24"/>
          <w:szCs w:val="24"/>
        </w:rPr>
      </w:pPr>
      <w:r>
        <w:rPr>
          <w:rFonts w:ascii="宋体" w:hAnsi="宋体"/>
          <w:sz w:val="24"/>
          <w:szCs w:val="24"/>
        </w:rPr>
      </w:r>
      <w:r/>
    </w:p>
    <w:p>
      <w:pPr>
        <w:pStyle w:val="840"/>
        <w:spacing w:line="360" w:lineRule="auto"/>
        <w:rPr>
          <w:rFonts w:ascii="宋体" w:hAnsi="宋体"/>
          <w:sz w:val="24"/>
          <w:szCs w:val="24"/>
        </w:rPr>
      </w:pPr>
      <w:r>
        <w:rPr>
          <w:rFonts w:ascii="宋体" w:hAnsi="宋体"/>
          <w:sz w:val="24"/>
          <w:szCs w:val="24"/>
        </w:rPr>
        <w:t xml:space="preserve">注：1、按照基本技术要求详细填列。</w:t>
      </w:r>
      <w:r/>
    </w:p>
    <w:p>
      <w:pPr>
        <w:pStyle w:val="840"/>
        <w:ind w:firstLine="480"/>
        <w:spacing w:line="360" w:lineRule="auto"/>
        <w:rPr>
          <w:rFonts w:ascii="宋体" w:hAnsi="宋体"/>
          <w:sz w:val="24"/>
          <w:szCs w:val="24"/>
        </w:rPr>
      </w:pPr>
      <w:r>
        <w:rPr>
          <w:rFonts w:ascii="宋体" w:hAnsi="宋体"/>
          <w:sz w:val="24"/>
          <w:szCs w:val="24"/>
        </w:rPr>
        <w:t xml:space="preserve">2、行数不够，可自行添加。</w:t>
      </w:r>
      <w:r/>
    </w:p>
    <w:p>
      <w:pPr>
        <w:pStyle w:val="840"/>
        <w:jc w:val="center"/>
        <w:rPr>
          <w:rFonts w:ascii="黑体" w:hAnsi="Arial" w:eastAsia="黑体"/>
          <w:b/>
          <w:sz w:val="36"/>
        </w:rPr>
      </w:pPr>
      <w:r>
        <w:rPr>
          <w:rFonts w:ascii="黑体" w:hAnsi="Arial" w:eastAsia="黑体"/>
          <w:b/>
          <w:sz w:val="36"/>
        </w:rPr>
      </w:r>
      <w:r/>
    </w:p>
    <w:p>
      <w:pPr>
        <w:pStyle w:val="840"/>
        <w:jc w:val="center"/>
        <w:rPr>
          <w:rFonts w:ascii="黑体" w:hAnsi="Arial" w:eastAsia="黑体"/>
          <w:b/>
          <w:sz w:val="36"/>
        </w:rPr>
      </w:pPr>
      <w:r>
        <w:rPr>
          <w:rFonts w:ascii="黑体" w:hAnsi="Arial" w:eastAsia="黑体"/>
          <w:b/>
          <w:sz w:val="36"/>
        </w:rPr>
      </w:r>
      <w:r/>
    </w:p>
    <w:p>
      <w:pPr>
        <w:pStyle w:val="840"/>
        <w:jc w:val="center"/>
        <w:rPr>
          <w:rFonts w:ascii="黑体" w:hAnsi="Arial" w:eastAsia="黑体"/>
          <w:b/>
          <w:sz w:val="36"/>
        </w:rPr>
      </w:pPr>
      <w:r>
        <w:rPr>
          <w:rFonts w:ascii="黑体" w:hAnsi="Arial" w:eastAsia="黑体"/>
          <w:b/>
          <w:sz w:val="36"/>
        </w:rPr>
      </w:r>
      <w:r/>
    </w:p>
    <w:p>
      <w:pPr>
        <w:pStyle w:val="840"/>
        <w:jc w:val="center"/>
        <w:rPr>
          <w:rFonts w:ascii="黑体" w:hAnsi="Arial" w:eastAsia="黑体"/>
          <w:b/>
          <w:sz w:val="36"/>
        </w:rPr>
      </w:pPr>
      <w:r>
        <w:rPr>
          <w:rFonts w:ascii="黑体" w:hAnsi="Arial" w:eastAsia="黑体"/>
          <w:b/>
          <w:sz w:val="36"/>
        </w:rPr>
      </w:r>
      <w:r/>
    </w:p>
    <w:p>
      <w:pPr>
        <w:pStyle w:val="840"/>
        <w:rPr>
          <w:rFonts w:ascii="黑体" w:hAnsi="Arial" w:eastAsia="黑体"/>
          <w:sz w:val="32"/>
        </w:rPr>
      </w:pPr>
      <w:r>
        <w:rPr>
          <w:rFonts w:ascii="黑体" w:hAnsi="Arial" w:eastAsia="黑体"/>
          <w:sz w:val="32"/>
        </w:rPr>
      </w:r>
      <w:r/>
    </w:p>
    <w:p>
      <w:pPr>
        <w:pStyle w:val="840"/>
        <w:rPr>
          <w:rFonts w:ascii="黑体" w:hAnsi="Arial" w:eastAsia="黑体"/>
          <w:sz w:val="32"/>
        </w:rPr>
      </w:pPr>
      <w:r>
        <w:rPr>
          <w:rFonts w:ascii="黑体" w:hAnsi="Arial" w:eastAsia="黑体"/>
          <w:sz w:val="32"/>
        </w:rPr>
      </w:r>
      <w:r/>
    </w:p>
    <w:p>
      <w:pPr>
        <w:pStyle w:val="840"/>
        <w:numPr>
          <w:ilvl w:val="0"/>
          <w:numId w:val="8"/>
        </w:numPr>
        <w:jc w:val="center"/>
        <w:rPr>
          <w:rFonts w:ascii="宋体" w:hAnsi="宋体"/>
          <w:b/>
          <w:sz w:val="32"/>
          <w:szCs w:val="32"/>
        </w:rPr>
      </w:pPr>
      <w:r>
        <w:rPr>
          <w:rFonts w:ascii="黑体" w:hAnsi="Arial" w:eastAsia="黑体"/>
          <w:sz w:val="32"/>
        </w:rPr>
        <w:br w:type="page" w:clear="all"/>
      </w:r>
      <w:bookmarkStart w:id="50" w:name="_Hlt26955054"/>
      <w:r/>
      <w:bookmarkEnd w:id="50"/>
      <w:r/>
      <w:bookmarkStart w:id="51" w:name="_Toc113352363"/>
      <w:r>
        <w:rPr>
          <w:rFonts w:ascii="宋体" w:hAnsi="宋体"/>
          <w:b/>
          <w:sz w:val="32"/>
          <w:szCs w:val="32"/>
        </w:rPr>
        <w:t xml:space="preserve">商务条款响应及偏离表</w:t>
      </w:r>
      <w:bookmarkEnd w:id="51"/>
      <w:r/>
      <w:r/>
    </w:p>
    <w:p>
      <w:pPr>
        <w:pStyle w:val="841"/>
        <w:ind w:firstLine="0"/>
      </w:pPr>
      <w:r/>
      <w:r/>
    </w:p>
    <w:tbl>
      <w:tblPr>
        <w:tblStyle w:val="799"/>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rPr>
                <w:rFonts w:eastAsia="仿宋_GB2312"/>
              </w:rPr>
            </w:pPr>
            <w:r>
              <w:rPr>
                <w:rFonts w:hint="eastAsia"/>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eastAsia="仿宋_GB2312"/>
              </w:rPr>
            </w:pPr>
            <w:r>
              <w:rPr>
                <w:rFonts w:hint="eastAsia"/>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rPr>
                <w:rFonts w:eastAsia="仿宋_GB2312"/>
              </w:rPr>
            </w:pPr>
            <w:r>
              <w:rPr>
                <w:rFonts w:hint="eastAsia"/>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rPr>
                <w:rFonts w:eastAsia="仿宋_GB2312"/>
              </w:rPr>
            </w:pPr>
            <w:r>
              <w:rPr>
                <w:rFonts w:hint="eastAsia"/>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rPr>
                <w:rFonts w:eastAsia="仿宋_GB2312"/>
              </w:rPr>
            </w:pPr>
            <w:r>
              <w:rPr>
                <w:rFonts w:hint="eastAsia"/>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r>
              <w:rPr>
                <w:rFonts w:hint="eastAsia"/>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rPr>
                <w:rFonts w:hAnsi="宋体" w:eastAsia="仿宋_GB2312"/>
              </w:rPr>
            </w:pPr>
            <w:r>
              <w:rPr>
                <w:rFonts w:hint="eastAsia"/>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rPr>
                <w:rFonts w:hAnsi="宋体" w:eastAsia="仿宋_GB2312"/>
              </w:rPr>
            </w:pPr>
            <w:r>
              <w:rPr>
                <w:rFonts w:hint="eastAsia"/>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rPr>
                <w:rFonts w:hAnsi="宋体"/>
              </w:rPr>
            </w:pPr>
            <w:r>
              <w:rPr>
                <w:rFonts w:hint="eastAsia"/>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r>
              <w:rPr>
                <w:rFonts w:hint="eastAsia"/>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r/>
            <w:r/>
          </w:p>
        </w:tc>
      </w:tr>
    </w:tbl>
    <w:p>
      <w:pPr>
        <w:pStyle w:val="842"/>
      </w:pPr>
      <w:r/>
      <w:r/>
    </w:p>
    <w:p>
      <w:pPr>
        <w:pStyle w:val="841"/>
        <w:ind w:firstLine="0"/>
      </w:pPr>
      <w:r/>
      <w:r/>
    </w:p>
    <w:p>
      <w:pPr>
        <w:pStyle w:val="840"/>
        <w:spacing w:line="480" w:lineRule="auto"/>
        <w:rPr>
          <w:rFonts w:ascii="仿宋_GB2312" w:hAnsi="Arial"/>
          <w:sz w:val="30"/>
        </w:rPr>
      </w:pPr>
      <w:r>
        <w:rPr>
          <w:rFonts w:ascii="仿宋_GB2312" w:hAnsi="Arial"/>
          <w:sz w:val="30"/>
        </w:rPr>
      </w:r>
      <w:r/>
    </w:p>
    <w:p>
      <w:pPr>
        <w:pStyle w:val="846"/>
        <w:ind w:firstLine="480"/>
        <w:rPr>
          <w:rFonts w:ascii="宋体" w:hAnsi="宋体"/>
          <w:sz w:val="24"/>
        </w:rPr>
      </w:pPr>
      <w:r/>
      <w:bookmarkStart w:id="52" w:name="_Hlt26609389"/>
      <w:r/>
      <w:bookmarkEnd w:id="52"/>
      <w:r/>
      <w:bookmarkStart w:id="53" w:name="_Hlt26671374"/>
      <w:r/>
      <w:bookmarkEnd w:id="53"/>
      <w:r/>
      <w:bookmarkStart w:id="54" w:name="_Hlt26955066"/>
      <w:r/>
      <w:bookmarkEnd w:id="54"/>
      <w:r/>
      <w:bookmarkStart w:id="55" w:name="_Toc462564146"/>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t xml:space="preserve">.</w:t>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r/>
    </w:p>
    <w:p>
      <w:pPr>
        <w:pStyle w:val="846"/>
        <w:ind w:firstLine="480"/>
        <w:rPr>
          <w:rFonts w:ascii="宋体" w:hAnsi="宋体"/>
          <w:sz w:val="24"/>
        </w:rPr>
      </w:pPr>
      <w:r>
        <w:rPr>
          <w:rFonts w:ascii="宋体" w:hAnsi="宋体"/>
          <w:sz w:val="24"/>
        </w:rPr>
      </w:r>
      <w:bookmarkEnd w:id="55"/>
      <w:r/>
      <w:r/>
    </w:p>
    <w:p>
      <w:r/>
      <w:bookmarkStart w:id="56" w:name="_Toc21900"/>
      <w:r/>
      <w:bookmarkEnd w:id="56"/>
      <w:r/>
      <w:r/>
    </w:p>
    <w:p>
      <w:r/>
      <w:r/>
    </w:p>
    <w:p>
      <w:r>
        <w:rPr>
          <w:rFonts w:hint="eastAsia"/>
        </w:rPr>
        <w:t xml:space="preserve">八、主要标的信息（中标后将公示）</w:t>
      </w:r>
      <w:r/>
    </w:p>
    <w:p>
      <w:pPr>
        <w:rPr>
          <w:b/>
        </w:rPr>
      </w:pPr>
      <w:r>
        <w:rPr>
          <w:rFonts w:hint="eastAsia"/>
        </w:rPr>
        <w:t xml:space="preserve">投标人全称：</w:t>
      </w:r>
      <w:r/>
    </w:p>
    <w:tbl>
      <w:tblPr>
        <w:tblStyle w:val="799"/>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r>
              <w:rPr>
                <w:rFonts w:hint="eastAsia"/>
              </w:rPr>
              <w:t xml:space="preserve">货物类</w:t>
            </w:r>
            <w:r/>
          </w:p>
        </w:tc>
        <w:tc>
          <w:tcPr>
            <w:tcW w:w="3780" w:type="dxa"/>
            <w:textDirection w:val="lrTb"/>
            <w:noWrap w:val="false"/>
          </w:tcPr>
          <w:p>
            <w:r>
              <w:rPr>
                <w:rFonts w:hint="eastAsia"/>
              </w:rPr>
              <w:t xml:space="preserve">服务类</w:t>
            </w:r>
            <w:r/>
          </w:p>
        </w:tc>
      </w:tr>
      <w:tr>
        <w:trPr>
          <w:trHeight w:val="3810"/>
        </w:trPr>
        <w:tc>
          <w:tcPr>
            <w:tcW w:w="3901" w:type="dxa"/>
            <w:textDirection w:val="lrTb"/>
            <w:noWrap w:val="false"/>
          </w:tcPr>
          <w:p>
            <w:r>
              <w:rPr>
                <w:rFonts w:hint="eastAsia"/>
              </w:rPr>
              <w:t xml:space="preserve">名称：</w:t>
            </w:r>
            <w:r/>
          </w:p>
          <w:p>
            <w:r>
              <w:rPr>
                <w:rFonts w:hint="eastAsia"/>
              </w:rPr>
              <w:t xml:space="preserve">品牌（如有）：</w:t>
            </w:r>
            <w:r/>
          </w:p>
          <w:p>
            <w:r>
              <w:rPr>
                <w:rFonts w:hint="eastAsia"/>
              </w:rPr>
              <w:t xml:space="preserve">规格型号：</w:t>
            </w:r>
            <w:r/>
          </w:p>
          <w:p>
            <w:r>
              <w:rPr>
                <w:rFonts w:hint="eastAsia"/>
              </w:rPr>
              <w:t xml:space="preserve">数量：</w:t>
            </w:r>
            <w:r/>
          </w:p>
          <w:p>
            <w:r>
              <w:rPr>
                <w:rFonts w:hint="eastAsia"/>
              </w:rPr>
              <w:t xml:space="preserve">单价：</w:t>
            </w:r>
            <w:r/>
          </w:p>
        </w:tc>
        <w:tc>
          <w:tcPr>
            <w:tcW w:w="3780" w:type="dxa"/>
            <w:textDirection w:val="lrTb"/>
            <w:noWrap w:val="false"/>
          </w:tcPr>
          <w:p>
            <w:r>
              <w:rPr>
                <w:rFonts w:hint="eastAsia"/>
              </w:rPr>
              <w:t xml:space="preserve">名称：</w:t>
            </w:r>
            <w:r/>
          </w:p>
          <w:p>
            <w:r>
              <w:rPr>
                <w:rFonts w:hint="eastAsia"/>
              </w:rPr>
              <w:t xml:space="preserve">服务范围：</w:t>
            </w:r>
            <w:r/>
          </w:p>
          <w:p>
            <w:pPr>
              <w:rPr>
                <w:u w:val="single"/>
              </w:rPr>
            </w:pPr>
            <w:r>
              <w:rPr>
                <w:rFonts w:hint="eastAsia"/>
              </w:rPr>
              <w:t xml:space="preserve">服务要求：</w:t>
            </w:r>
            <w:r/>
          </w:p>
          <w:p>
            <w:pPr>
              <w:rPr>
                <w:u w:val="single"/>
              </w:rPr>
            </w:pPr>
            <w:r>
              <w:rPr>
                <w:rFonts w:hint="eastAsia"/>
              </w:rPr>
              <w:t xml:space="preserve">服务时间：</w:t>
            </w:r>
            <w:r/>
          </w:p>
          <w:p>
            <w:r>
              <w:rPr>
                <w:rFonts w:hint="eastAsia"/>
              </w:rPr>
              <w:t xml:space="preserve">服务标准：</w:t>
            </w:r>
            <w:r/>
          </w:p>
        </w:tc>
      </w:tr>
    </w:tbl>
    <w:p>
      <w:r/>
      <w:r/>
    </w:p>
    <w:p>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Symbol">
    <w:panose1 w:val="05050102010706020507"/>
  </w:font>
  <w:font w:name="仿宋">
    <w:panose1 w:val="02010609060101010101"/>
  </w:font>
  <w:font w:name="等线 Light">
    <w:panose1 w:val="02010600030101010101"/>
  </w:font>
  <w:font w:name="Tahoma">
    <w:panose1 w:val="020B0604030504040204"/>
  </w:font>
  <w:font w:name="Courier New">
    <w:panose1 w:val="02070309020205020404"/>
  </w:font>
  <w:font w:name="Cambria">
    <w:panose1 w:val="02040503050406030204"/>
  </w:font>
  <w:font w:name="Calibri">
    <w:panose1 w:val="020F0502020204030204"/>
  </w:font>
  <w:font w:name="微软雅黑">
    <w:panose1 w:val="020B0503020204020204"/>
  </w:font>
  <w:font w:name="楷体_GB2312">
    <w:panose1 w:val="02010609060101010101"/>
  </w:font>
  <w:font w:name="Consolas">
    <w:panose1 w:val="020B0609020204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p>
    <w:pPr>
      <w:pStyle w:val="8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20</w:t>
                    </w:r>
                    <w:r>
                      <w:fldChar w:fldCharType="end"/>
                    </w:r>
                    <w:r/>
                  </w:p>
                </w:txbxContent>
              </v:textbox>
            </v:shape>
          </w:pict>
        </mc:Fallback>
      </mc:AlternateContent>
    </w:r>
    <w:sdt>
      <w:sdtPr>
        <w15:appearance w15:val="boundingBox"/>
        <w:id w:val="-1"/>
        <w:showingPlcHdr w:val="true"/>
        <w:rPr/>
      </w:sdtPr>
      <w:sdtContent>
        <w:r>
          <w:rPr>
            <w:rFonts w:hint="eastAsia"/>
          </w:rPr>
          <w:t xml:space="preserve">     </w:t>
        </w:r>
      </w:sdtContent>
    </w:sdt>
    <w:r/>
    <w:r/>
  </w:p>
  <w:p>
    <w:pPr>
      <w:pStyle w:val="10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77</w:t>
                          </w:r>
                          <w: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180"/>
      <w:jc w:val="both"/>
      <w:rPr>
        <w:rFonts w:hint="eastAsia" w:ascii="宋体" w:hAnsi="宋体"/>
      </w:rPr>
    </w:pPr>
    <w:r>
      <w:rPr>
        <w:rFonts w:hint="eastAsia" w:ascii="宋体" w:hAnsi="宋体"/>
      </w:rPr>
    </w:r>
    <w:r/>
  </w:p>
  <w:p>
    <w:pPr>
      <w:pStyle w:val="1054"/>
      <w:ind w:firstLine="180"/>
      <w:jc w:val="both"/>
    </w:pPr>
    <w:r>
      <w:rPr>
        <w:rFonts w:hint="eastAsia" w:ascii="宋体" w:hAnsi="宋体"/>
        <w:lang w:eastAsia="zh-CN"/>
      </w:rPr>
      <w:t xml:space="preserve">JSZC-320000-JSWC-G2026-0022</w:t>
    </w:r>
    <w:r>
      <w:rPr>
        <w:rFonts w:ascii="宋体" w:hAnsi="宋体"/>
      </w:rPr>
      <w:t xml:space="preserve">号</w:t>
    </w:r>
    <w:r>
      <w:t xml:space="preserve">                        </w:t>
    </w:r>
    <w:r>
      <w:rPr>
        <w:rFonts w:hint="eastAsia"/>
      </w:rPr>
      <w:t xml:space="preserve">          </w:t>
    </w:r>
    <w:r>
      <w:t xml:space="preserve">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Bdr>
        <w:bottom w:val="single" w:color="000000" w:sz="4" w:space="1"/>
      </w:pBdr>
    </w:pPr>
    <w:r>
      <w:rPr>
        <w:rFonts w:hint="eastAsia"/>
        <w:lang w:eastAsia="zh-CN"/>
      </w:rPr>
      <w:t xml:space="preserve">JSZC-320000-JSWC-G2026-0022</w:t>
    </w:r>
    <w:r>
      <w:t xml:space="preserve">号                                      江苏唯诚建设咨询有限公司</w:t>
    </w:r>
    <w:r/>
  </w:p>
  <w:p>
    <w:pPr>
      <w:pStyle w:val="105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62"/>
      <w:isLgl w:val="false"/>
      <w:suff w:val="tab"/>
      <w:lvlText w:val=""/>
      <w:lvlJc w:val="left"/>
      <w:pPr>
        <w:ind w:left="1772" w:hanging="360"/>
        <w:tabs>
          <w:tab w:val="left" w:pos="1772" w:leader="none"/>
        </w:tabs>
      </w:pPr>
      <w:rPr>
        <w:rFonts w:ascii="Wingdings" w:hAnsi="Wingdings"/>
      </w:rPr>
    </w:lvl>
    <w:lvl w:ilvl="1">
      <w:start w:val="1"/>
      <w:numFmt w:val="bullet"/>
      <w:isLgl w:val="false"/>
      <w:suff w:val="tab"/>
      <w:lvlText w:val="o"/>
      <w:lvlJc w:val="left"/>
      <w:pPr>
        <w:ind w:left="2432" w:hanging="360"/>
      </w:pPr>
      <w:rPr>
        <w:rFonts w:hint="default" w:ascii="Courier New" w:hAnsi="Courier New" w:eastAsia="Courier New" w:cs="Courier New"/>
      </w:rPr>
    </w:lvl>
    <w:lvl w:ilvl="2">
      <w:start w:val="1"/>
      <w:numFmt w:val="bullet"/>
      <w:isLgl w:val="false"/>
      <w:suff w:val="tab"/>
      <w:lvlText w:val="§"/>
      <w:lvlJc w:val="left"/>
      <w:pPr>
        <w:ind w:left="3152" w:hanging="360"/>
      </w:pPr>
      <w:rPr>
        <w:rFonts w:hint="default" w:ascii="Wingdings" w:hAnsi="Wingdings" w:eastAsia="Wingdings" w:cs="Wingdings"/>
      </w:rPr>
    </w:lvl>
    <w:lvl w:ilvl="3">
      <w:start w:val="1"/>
      <w:numFmt w:val="bullet"/>
      <w:isLgl w:val="false"/>
      <w:suff w:val="tab"/>
      <w:lvlText w:val="·"/>
      <w:lvlJc w:val="left"/>
      <w:pPr>
        <w:ind w:left="3872" w:hanging="360"/>
      </w:pPr>
      <w:rPr>
        <w:rFonts w:hint="default" w:ascii="Symbol" w:hAnsi="Symbol" w:eastAsia="Symbol" w:cs="Symbol"/>
      </w:rPr>
    </w:lvl>
    <w:lvl w:ilvl="4">
      <w:start w:val="1"/>
      <w:numFmt w:val="bullet"/>
      <w:isLgl w:val="false"/>
      <w:suff w:val="tab"/>
      <w:lvlText w:val="o"/>
      <w:lvlJc w:val="left"/>
      <w:pPr>
        <w:ind w:left="4592" w:hanging="360"/>
      </w:pPr>
      <w:rPr>
        <w:rFonts w:hint="default" w:ascii="Courier New" w:hAnsi="Courier New" w:eastAsia="Courier New" w:cs="Courier New"/>
      </w:rPr>
    </w:lvl>
    <w:lvl w:ilvl="5">
      <w:start w:val="1"/>
      <w:numFmt w:val="bullet"/>
      <w:isLgl w:val="false"/>
      <w:suff w:val="tab"/>
      <w:lvlText w:val="§"/>
      <w:lvlJc w:val="left"/>
      <w:pPr>
        <w:ind w:left="5312" w:hanging="360"/>
      </w:pPr>
      <w:rPr>
        <w:rFonts w:hint="default" w:ascii="Wingdings" w:hAnsi="Wingdings" w:eastAsia="Wingdings" w:cs="Wingdings"/>
      </w:rPr>
    </w:lvl>
    <w:lvl w:ilvl="6">
      <w:start w:val="1"/>
      <w:numFmt w:val="bullet"/>
      <w:isLgl w:val="false"/>
      <w:suff w:val="tab"/>
      <w:lvlText w:val="·"/>
      <w:lvlJc w:val="left"/>
      <w:pPr>
        <w:ind w:left="6032" w:hanging="360"/>
      </w:pPr>
      <w:rPr>
        <w:rFonts w:hint="default" w:ascii="Symbol" w:hAnsi="Symbol" w:eastAsia="Symbol" w:cs="Symbol"/>
      </w:rPr>
    </w:lvl>
    <w:lvl w:ilvl="7">
      <w:start w:val="1"/>
      <w:numFmt w:val="bullet"/>
      <w:isLgl w:val="false"/>
      <w:suff w:val="tab"/>
      <w:lvlText w:val="o"/>
      <w:lvlJc w:val="left"/>
      <w:pPr>
        <w:ind w:left="6752" w:hanging="360"/>
      </w:pPr>
      <w:rPr>
        <w:rFonts w:hint="default" w:ascii="Courier New" w:hAnsi="Courier New" w:eastAsia="Courier New" w:cs="Courier New"/>
      </w:rPr>
    </w:lvl>
    <w:lvl w:ilvl="8">
      <w:start w:val="1"/>
      <w:numFmt w:val="bullet"/>
      <w:isLgl w:val="false"/>
      <w:suff w:val="tab"/>
      <w:lvlText w:val="§"/>
      <w:lvlJc w:val="left"/>
      <w:pPr>
        <w:ind w:left="7472"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300" w:hanging="420"/>
      </w:pPr>
      <w:rPr>
        <w:rFonts w:ascii="黑体" w:eastAsia="黑体"/>
        <w:b w:val="0"/>
        <w:sz w:val="36"/>
        <w:lang w:val="en-US"/>
      </w:rPr>
    </w:lvl>
    <w:lvl w:ilvl="1">
      <w:start w:val="1"/>
      <w:numFmt w:val="decimal"/>
      <w:pStyle w:val="1154"/>
      <w:isLgl w:val="false"/>
      <w:suff w:val="tab"/>
      <w:lvlText w:val="%1.%2"/>
      <w:lvlJc w:val="left"/>
      <w:pPr>
        <w:ind w:left="0" w:firstLine="0"/>
        <w:tabs>
          <w:tab w:val="left" w:pos="851" w:leader="none"/>
        </w:tabs>
      </w:pPr>
    </w:lvl>
    <w:lvl w:ilvl="2">
      <w:start w:val="1"/>
      <w:numFmt w:val="decimal"/>
      <w:pStyle w:val="1136"/>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3">
    <w:multiLevelType w:val="hybridMultilevel"/>
    <w:lvl w:ilvl="0">
      <w:start w:val="7"/>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114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isLgl w:val="false"/>
      <w:suff w:val="tab"/>
      <w:lvlText w:val="%1、"/>
      <w:lvlJc w:val="left"/>
      <w:pPr>
        <w:ind w:left="431" w:hanging="431"/>
      </w:pPr>
      <w:rPr>
        <w:b/>
        <w:i w:val="0"/>
        <w:iCs w:val="0"/>
        <w:caps w:val="0"/>
        <w:strike w:val="0"/>
        <w:vanish w:val="0"/>
        <w:spacing w:val="0"/>
        <w:position w:val="0"/>
        <w:sz w:val="21"/>
        <w:szCs w:val="32"/>
        <w:u w:val="none"/>
        <w:vertAlign w:val="baseline"/>
      </w:rPr>
    </w:lvl>
    <w:lvl w:ilvl="1">
      <w:start w:val="1"/>
      <w:numFmt w:val="decimal"/>
      <w:pStyle w:val="839"/>
      <w:isLgl w:val="false"/>
      <w:suff w:val="space"/>
      <w:lvlText w:val="%1.%2"/>
      <w:lvlJc w:val="left"/>
      <w:pPr>
        <w:ind w:left="851" w:hanging="567"/>
      </w:pPr>
      <w:rPr>
        <w:rFonts w:ascii="Arial" w:hAnsi="Arial" w:eastAsia="黑体"/>
        <w:b/>
        <w:i w:val="0"/>
        <w:sz w:val="28"/>
        <w:szCs w:val="28"/>
      </w:rPr>
    </w:lvl>
    <w:lvl w:ilvl="2">
      <w:start w:val="1"/>
      <w:numFmt w:val="decimal"/>
      <w:pStyle w:val="848"/>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bullet"/>
      <w:pStyle w:val="1132"/>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2"/>
  </w:num>
  <w:num w:numId="4">
    <w:abstractNumId w:val="4"/>
  </w:num>
  <w:num w:numId="5">
    <w:abstractNumId w:val="0"/>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8">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7">
    <w:name w:val="TOC Heading"/>
    <w:uiPriority w:val="39"/>
    <w:unhideWhenUsed/>
  </w:style>
  <w:style w:type="paragraph" w:styleId="788" w:default="1">
    <w:name w:val="Normal"/>
    <w:uiPriority w:val="0"/>
    <w:qFormat/>
    <w:pPr>
      <w:jc w:val="both"/>
      <w:spacing w:line="0" w:lineRule="atLeast"/>
    </w:pPr>
    <w:rPr>
      <w:rFonts w:ascii="Times New Roman" w:hAnsi="Times New Roman" w:eastAsia="宋体" w:cs="Times New Roman"/>
      <w:iCs/>
      <w:lang w:val="en-US" w:eastAsia="zh-CN" w:bidi="ar-SA"/>
    </w:rPr>
  </w:style>
  <w:style w:type="paragraph" w:styleId="789">
    <w:name w:val="Heading 1"/>
    <w:next w:val="788"/>
    <w:link w:val="886"/>
    <w:uiPriority w:val="9"/>
    <w:qFormat/>
    <w:pPr>
      <w:keepLines/>
      <w:keepNext/>
      <w:spacing w:before="480" w:after="200"/>
      <w:outlineLvl w:val="0"/>
    </w:pPr>
    <w:rPr>
      <w:rFonts w:ascii="Arial" w:hAnsi="Arial" w:eastAsia="Arial" w:cs="Arial"/>
      <w:sz w:val="40"/>
      <w:szCs w:val="40"/>
      <w:lang w:val="en-US" w:eastAsia="zh-CN" w:bidi="ar-SA"/>
    </w:rPr>
  </w:style>
  <w:style w:type="paragraph" w:styleId="790">
    <w:name w:val="Heading 2"/>
    <w:basedOn w:val="788"/>
    <w:next w:val="788"/>
    <w:link w:val="887"/>
    <w:uiPriority w:val="9"/>
    <w:unhideWhenUsed/>
    <w:qFormat/>
    <w:pPr>
      <w:keepLines/>
      <w:keepNext/>
      <w:spacing w:before="360" w:after="200"/>
      <w:outlineLvl w:val="1"/>
    </w:pPr>
    <w:rPr>
      <w:rFonts w:ascii="Arial" w:hAnsi="Arial" w:eastAsia="Arial" w:cs="Arial"/>
      <w:sz w:val="34"/>
    </w:rPr>
  </w:style>
  <w:style w:type="paragraph" w:styleId="791">
    <w:name w:val="Heading 3"/>
    <w:next w:val="788"/>
    <w:link w:val="88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92">
    <w:name w:val="Heading 4"/>
    <w:next w:val="788"/>
    <w:link w:val="889"/>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93">
    <w:name w:val="Heading 5"/>
    <w:next w:val="788"/>
    <w:link w:val="89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94">
    <w:name w:val="Heading 6"/>
    <w:next w:val="788"/>
    <w:link w:val="89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95">
    <w:name w:val="Heading 7"/>
    <w:next w:val="788"/>
    <w:link w:val="89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96">
    <w:name w:val="Heading 8"/>
    <w:next w:val="788"/>
    <w:link w:val="89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97">
    <w:name w:val="Heading 9"/>
    <w:next w:val="788"/>
    <w:link w:val="89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next w:val="788"/>
    <w:uiPriority w:val="39"/>
    <w:unhideWhenUsed/>
    <w:qFormat/>
    <w:pPr>
      <w:ind w:left="1701"/>
      <w:spacing w:after="57"/>
    </w:pPr>
    <w:rPr>
      <w:rFonts w:ascii="Times New Roman" w:hAnsi="Times New Roman" w:eastAsia="宋体" w:cs="Times New Roman"/>
      <w:lang w:val="en-US" w:eastAsia="zh-CN" w:bidi="ar-SA"/>
    </w:rPr>
  </w:style>
  <w:style w:type="paragraph" w:styleId="801">
    <w:name w:val="Normal Indent"/>
    <w:basedOn w:val="788"/>
    <w:next w:val="788"/>
    <w:uiPriority w:val="0"/>
    <w:qFormat/>
    <w:pPr>
      <w:ind w:firstLine="420"/>
      <w:spacing w:line="360" w:lineRule="auto"/>
    </w:pPr>
    <w:rPr>
      <w:rFonts w:ascii="宋体"/>
    </w:rPr>
  </w:style>
  <w:style w:type="paragraph" w:styleId="802">
    <w:name w:val="Caption"/>
    <w:next w:val="788"/>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03">
    <w:name w:val="annotation text"/>
    <w:basedOn w:val="788"/>
    <w:link w:val="1170"/>
    <w:uiPriority w:val="99"/>
    <w:qFormat/>
    <w:pPr>
      <w:ind w:firstLine="200"/>
      <w:spacing w:line="440" w:lineRule="exact"/>
    </w:pPr>
    <w:rPr>
      <w:szCs w:val="21"/>
    </w:rPr>
  </w:style>
  <w:style w:type="paragraph" w:styleId="804">
    <w:name w:val="Body Text"/>
    <w:basedOn w:val="788"/>
    <w:uiPriority w:val="0"/>
    <w:qFormat/>
    <w:rPr>
      <w:rFonts w:eastAsia="黑体"/>
      <w:b/>
      <w:bCs/>
      <w:spacing w:val="20"/>
      <w:sz w:val="56"/>
    </w:rPr>
  </w:style>
  <w:style w:type="paragraph" w:styleId="805">
    <w:name w:val="Body Text Indent"/>
    <w:basedOn w:val="788"/>
    <w:next w:val="788"/>
    <w:uiPriority w:val="99"/>
    <w:qFormat/>
    <w:pPr>
      <w:ind w:left="420"/>
      <w:spacing w:after="120"/>
    </w:pPr>
    <w:rPr>
      <w:sz w:val="24"/>
      <w:szCs w:val="24"/>
    </w:rPr>
  </w:style>
  <w:style w:type="paragraph" w:styleId="806">
    <w:name w:val="index 4"/>
    <w:basedOn w:val="788"/>
    <w:next w:val="788"/>
    <w:uiPriority w:val="0"/>
    <w:qFormat/>
    <w:pPr>
      <w:ind w:left="600" w:firstLine="200"/>
      <w:spacing w:line="360" w:lineRule="auto"/>
    </w:pPr>
    <w:rPr>
      <w:sz w:val="24"/>
      <w:szCs w:val="24"/>
    </w:rPr>
  </w:style>
  <w:style w:type="paragraph" w:styleId="807">
    <w:name w:val="toc 5"/>
    <w:next w:val="788"/>
    <w:uiPriority w:val="39"/>
    <w:unhideWhenUsed/>
    <w:qFormat/>
    <w:pPr>
      <w:ind w:left="1134"/>
      <w:spacing w:after="57"/>
    </w:pPr>
    <w:rPr>
      <w:rFonts w:ascii="Times New Roman" w:hAnsi="Times New Roman" w:eastAsia="宋体" w:cs="Times New Roman"/>
      <w:lang w:val="en-US" w:eastAsia="zh-CN" w:bidi="ar-SA"/>
    </w:rPr>
  </w:style>
  <w:style w:type="paragraph" w:styleId="808">
    <w:name w:val="toc 3"/>
    <w:next w:val="788"/>
    <w:uiPriority w:val="39"/>
    <w:unhideWhenUsed/>
    <w:qFormat/>
    <w:pPr>
      <w:ind w:left="567"/>
      <w:spacing w:after="57"/>
    </w:pPr>
    <w:rPr>
      <w:rFonts w:ascii="Times New Roman" w:hAnsi="Times New Roman" w:eastAsia="宋体" w:cs="Times New Roman"/>
      <w:lang w:val="en-US" w:eastAsia="zh-CN" w:bidi="ar-SA"/>
    </w:rPr>
  </w:style>
  <w:style w:type="paragraph" w:styleId="809">
    <w:name w:val="Plain Text"/>
    <w:basedOn w:val="788"/>
    <w:uiPriority w:val="0"/>
    <w:qFormat/>
    <w:pPr>
      <w:ind w:firstLine="420"/>
      <w:spacing w:before="120" w:after="120" w:line="360" w:lineRule="auto"/>
      <w:widowControl w:val="off"/>
      <w:outlineLvl w:val="1"/>
    </w:pPr>
    <w:rPr>
      <w:rFonts w:ascii="宋体" w:hAnsi="宋体" w:cs="宋体"/>
      <w:b/>
      <w:bCs/>
      <w:sz w:val="21"/>
      <w:szCs w:val="21"/>
    </w:rPr>
  </w:style>
  <w:style w:type="paragraph" w:styleId="810">
    <w:name w:val="toc 8"/>
    <w:next w:val="788"/>
    <w:uiPriority w:val="39"/>
    <w:unhideWhenUsed/>
    <w:qFormat/>
    <w:pPr>
      <w:ind w:left="1984"/>
      <w:spacing w:after="57"/>
    </w:pPr>
    <w:rPr>
      <w:rFonts w:ascii="Times New Roman" w:hAnsi="Times New Roman" w:eastAsia="宋体" w:cs="Times New Roman"/>
      <w:lang w:val="en-US" w:eastAsia="zh-CN" w:bidi="ar-SA"/>
    </w:rPr>
  </w:style>
  <w:style w:type="paragraph" w:styleId="811">
    <w:name w:val="endnote text"/>
    <w:link w:val="1012"/>
    <w:uiPriority w:val="99"/>
    <w:semiHidden/>
    <w:unhideWhenUsed/>
    <w:qFormat/>
    <w:rPr>
      <w:rFonts w:ascii="Times New Roman" w:hAnsi="Times New Roman" w:eastAsia="宋体" w:cs="Times New Roman"/>
      <w:lang w:val="en-US" w:eastAsia="zh-CN" w:bidi="ar-SA"/>
    </w:rPr>
  </w:style>
  <w:style w:type="paragraph" w:styleId="812">
    <w:name w:val="Balloon Text"/>
    <w:basedOn w:val="788"/>
    <w:link w:val="1173"/>
    <w:uiPriority w:val="99"/>
    <w:semiHidden/>
    <w:unhideWhenUsed/>
    <w:qFormat/>
    <w:rPr>
      <w:sz w:val="18"/>
      <w:szCs w:val="18"/>
    </w:rPr>
  </w:style>
  <w:style w:type="paragraph" w:styleId="813">
    <w:name w:val="Footer"/>
    <w:basedOn w:val="788"/>
    <w:link w:val="904"/>
    <w:uiPriority w:val="99"/>
    <w:unhideWhenUsed/>
    <w:qFormat/>
    <w:pPr>
      <w:tabs>
        <w:tab w:val="center" w:pos="7143" w:leader="none"/>
        <w:tab w:val="right" w:pos="14287" w:leader="none"/>
      </w:tabs>
    </w:pPr>
  </w:style>
  <w:style w:type="paragraph" w:styleId="814">
    <w:name w:val="envelope return"/>
    <w:basedOn w:val="788"/>
    <w:uiPriority w:val="0"/>
    <w:qFormat/>
    <w:rPr>
      <w:rFonts w:ascii="Arial" w:hAnsi="Arial"/>
    </w:rPr>
  </w:style>
  <w:style w:type="paragraph" w:styleId="815">
    <w:name w:val="Header"/>
    <w:basedOn w:val="788"/>
    <w:link w:val="902"/>
    <w:uiPriority w:val="99"/>
    <w:unhideWhenUsed/>
    <w:qFormat/>
    <w:pPr>
      <w:tabs>
        <w:tab w:val="center" w:pos="7143" w:leader="none"/>
        <w:tab w:val="right" w:pos="14287" w:leader="none"/>
      </w:tabs>
    </w:pPr>
  </w:style>
  <w:style w:type="paragraph" w:styleId="816">
    <w:name w:val="toc 1"/>
    <w:next w:val="788"/>
    <w:uiPriority w:val="39"/>
    <w:unhideWhenUsed/>
    <w:qFormat/>
    <w:pPr>
      <w:spacing w:after="57"/>
    </w:pPr>
    <w:rPr>
      <w:rFonts w:ascii="Times New Roman" w:hAnsi="Times New Roman" w:eastAsia="宋体" w:cs="Times New Roman"/>
      <w:lang w:val="en-US" w:eastAsia="zh-CN" w:bidi="ar-SA"/>
    </w:rPr>
  </w:style>
  <w:style w:type="paragraph" w:styleId="817">
    <w:name w:val="toc 4"/>
    <w:next w:val="788"/>
    <w:uiPriority w:val="39"/>
    <w:unhideWhenUsed/>
    <w:qFormat/>
    <w:pPr>
      <w:ind w:left="850"/>
      <w:spacing w:after="57"/>
    </w:pPr>
    <w:rPr>
      <w:rFonts w:ascii="Times New Roman" w:hAnsi="Times New Roman" w:eastAsia="宋体" w:cs="Times New Roman"/>
      <w:lang w:val="en-US" w:eastAsia="zh-CN" w:bidi="ar-SA"/>
    </w:rPr>
  </w:style>
  <w:style w:type="paragraph" w:styleId="818">
    <w:name w:val="Subtitle"/>
    <w:link w:val="897"/>
    <w:uiPriority w:val="11"/>
    <w:qFormat/>
    <w:pPr>
      <w:spacing w:before="200" w:after="200"/>
    </w:pPr>
    <w:rPr>
      <w:rFonts w:ascii="Times New Roman" w:hAnsi="Times New Roman" w:eastAsia="宋体" w:cs="Times New Roman"/>
      <w:sz w:val="24"/>
      <w:szCs w:val="24"/>
      <w:lang w:val="en-US" w:eastAsia="zh-CN" w:bidi="ar-SA"/>
    </w:rPr>
  </w:style>
  <w:style w:type="paragraph" w:styleId="819">
    <w:name w:val="footnote text"/>
    <w:link w:val="1011"/>
    <w:uiPriority w:val="99"/>
    <w:semiHidden/>
    <w:unhideWhenUsed/>
    <w:qFormat/>
    <w:pPr>
      <w:spacing w:after="40"/>
    </w:pPr>
    <w:rPr>
      <w:rFonts w:ascii="Times New Roman" w:hAnsi="Times New Roman" w:eastAsia="宋体" w:cs="Times New Roman"/>
      <w:sz w:val="18"/>
      <w:lang w:val="en-US" w:eastAsia="zh-CN" w:bidi="ar-SA"/>
    </w:rPr>
  </w:style>
  <w:style w:type="paragraph" w:styleId="820">
    <w:name w:val="toc 6"/>
    <w:next w:val="788"/>
    <w:uiPriority w:val="39"/>
    <w:unhideWhenUsed/>
    <w:qFormat/>
    <w:pPr>
      <w:ind w:left="1417"/>
      <w:spacing w:after="57"/>
    </w:pPr>
    <w:rPr>
      <w:rFonts w:ascii="Times New Roman" w:hAnsi="Times New Roman" w:eastAsia="宋体" w:cs="Times New Roman"/>
      <w:lang w:val="en-US" w:eastAsia="zh-CN" w:bidi="ar-SA"/>
    </w:rPr>
  </w:style>
  <w:style w:type="paragraph" w:styleId="821">
    <w:name w:val="table of figures"/>
    <w:next w:val="788"/>
    <w:uiPriority w:val="99"/>
    <w:unhideWhenUsed/>
    <w:qFormat/>
    <w:rPr>
      <w:rFonts w:ascii="Times New Roman" w:hAnsi="Times New Roman" w:eastAsia="宋体" w:cs="Times New Roman"/>
      <w:lang w:val="en-US" w:eastAsia="zh-CN" w:bidi="ar-SA"/>
    </w:rPr>
  </w:style>
  <w:style w:type="paragraph" w:styleId="822">
    <w:name w:val="toc 2"/>
    <w:next w:val="788"/>
    <w:uiPriority w:val="39"/>
    <w:unhideWhenUsed/>
    <w:qFormat/>
    <w:pPr>
      <w:ind w:left="283"/>
      <w:spacing w:after="57"/>
    </w:pPr>
    <w:rPr>
      <w:rFonts w:ascii="Times New Roman" w:hAnsi="Times New Roman" w:eastAsia="宋体" w:cs="Times New Roman"/>
      <w:lang w:val="en-US" w:eastAsia="zh-CN" w:bidi="ar-SA"/>
    </w:rPr>
  </w:style>
  <w:style w:type="paragraph" w:styleId="823">
    <w:name w:val="toc 9"/>
    <w:basedOn w:val="788"/>
    <w:next w:val="788"/>
    <w:uiPriority w:val="39"/>
    <w:unhideWhenUsed/>
    <w:qFormat/>
    <w:pPr>
      <w:ind w:left="2268"/>
      <w:spacing w:after="57"/>
    </w:pPr>
  </w:style>
  <w:style w:type="paragraph" w:styleId="824">
    <w:name w:val="Body Text 2"/>
    <w:basedOn w:val="788"/>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825">
    <w:name w:val="Normal (Web)"/>
    <w:basedOn w:val="788"/>
    <w:uiPriority w:val="99"/>
    <w:unhideWhenUsed/>
    <w:qFormat/>
    <w:rPr>
      <w:sz w:val="24"/>
    </w:rPr>
  </w:style>
  <w:style w:type="paragraph" w:styleId="826">
    <w:name w:val="Title"/>
    <w:link w:val="896"/>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27">
    <w:name w:val="annotation subject"/>
    <w:basedOn w:val="803"/>
    <w:next w:val="803"/>
    <w:link w:val="1171"/>
    <w:uiPriority w:val="99"/>
    <w:semiHidden/>
    <w:unhideWhenUsed/>
    <w:qFormat/>
    <w:pPr>
      <w:ind w:firstLine="0"/>
      <w:spacing w:line="240" w:lineRule="auto"/>
    </w:pPr>
    <w:rPr>
      <w:b/>
      <w:bCs/>
      <w:szCs w:val="20"/>
    </w:rPr>
  </w:style>
  <w:style w:type="paragraph" w:styleId="828">
    <w:name w:val="Body Text First Indent"/>
    <w:basedOn w:val="804"/>
    <w:next w:val="788"/>
    <w:uiPriority w:val="0"/>
    <w:qFormat/>
    <w:pPr>
      <w:ind w:firstLine="420"/>
    </w:pPr>
  </w:style>
  <w:style w:type="paragraph" w:styleId="829">
    <w:name w:val="Body Text First Indent 2"/>
    <w:basedOn w:val="805"/>
    <w:next w:val="788"/>
    <w:uiPriority w:val="99"/>
    <w:qFormat/>
    <w:pPr>
      <w:ind w:firstLine="420"/>
    </w:pPr>
    <w:rPr>
      <w:rFonts w:ascii="Calibri" w:hAnsi="Calibri" w:cs="Calibri"/>
      <w:sz w:val="21"/>
      <w:szCs w:val="21"/>
    </w:rPr>
  </w:style>
  <w:style w:type="table" w:styleId="8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Strong"/>
    <w:basedOn w:val="798"/>
    <w:uiPriority w:val="22"/>
    <w:qFormat/>
    <w:rPr>
      <w:b/>
    </w:rPr>
  </w:style>
  <w:style w:type="character" w:styleId="832">
    <w:name w:val="endnote reference"/>
    <w:uiPriority w:val="99"/>
    <w:semiHidden/>
    <w:unhideWhenUsed/>
    <w:qFormat/>
    <w:rPr>
      <w:vertAlign w:val="superscript"/>
    </w:rPr>
  </w:style>
  <w:style w:type="character" w:styleId="833">
    <w:name w:val="page number"/>
    <w:uiPriority w:val="0"/>
    <w:qFormat/>
  </w:style>
  <w:style w:type="character" w:styleId="834">
    <w:name w:val="Emphasis"/>
    <w:basedOn w:val="798"/>
    <w:uiPriority w:val="20"/>
    <w:qFormat/>
    <w:rPr>
      <w:i/>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annotation reference"/>
    <w:basedOn w:val="798"/>
    <w:uiPriority w:val="0"/>
    <w:qFormat/>
    <w:rPr>
      <w:sz w:val="21"/>
      <w:szCs w:val="21"/>
    </w:rPr>
  </w:style>
  <w:style w:type="character" w:styleId="837">
    <w:name w:val="footnote reference"/>
    <w:uiPriority w:val="99"/>
    <w:unhideWhenUsed/>
    <w:qFormat/>
    <w:rPr>
      <w:vertAlign w:val="superscript"/>
    </w:rPr>
  </w:style>
  <w:style w:type="character" w:styleId="838" w:customStyle="1">
    <w:name w:val="标题 2 字符"/>
    <w:link w:val="839"/>
    <w:uiPriority w:val="0"/>
    <w:qFormat/>
    <w:rPr>
      <w:rFonts w:ascii="Arial" w:hAnsi="Arial" w:eastAsia="宋体"/>
      <w:b/>
      <w:bCs/>
      <w:sz w:val="28"/>
      <w:szCs w:val="36"/>
    </w:rPr>
  </w:style>
  <w:style w:type="paragraph" w:styleId="839" w:customStyle="1">
    <w:name w:val="标题 21"/>
    <w:basedOn w:val="840"/>
    <w:next w:val="846"/>
    <w:link w:val="838"/>
    <w:uiPriority w:val="9"/>
    <w:qFormat/>
    <w:pPr>
      <w:numPr>
        <w:ilvl w:val="1"/>
        <w:numId w:val="1"/>
      </w:numPr>
      <w:jc w:val="left"/>
      <w:keepLines/>
      <w:keepNext/>
      <w:spacing w:before="312" w:after="312"/>
      <w:outlineLvl w:val="1"/>
    </w:pPr>
    <w:rPr>
      <w:rFonts w:ascii="Arial" w:hAnsi="Arial"/>
      <w:b/>
      <w:bCs/>
      <w:sz w:val="28"/>
      <w:szCs w:val="36"/>
    </w:rPr>
  </w:style>
  <w:style w:type="paragraph" w:styleId="840" w:customStyle="1">
    <w:name w:val="正文11"/>
    <w:next w:val="841"/>
    <w:link w:val="1134"/>
    <w:uiPriority w:val="0"/>
    <w:qFormat/>
    <w:pPr>
      <w:jc w:val="both"/>
      <w:widowControl w:val="off"/>
    </w:pPr>
    <w:rPr>
      <w:rFonts w:ascii="Times New Roman" w:hAnsi="Times New Roman" w:eastAsia="宋体" w:cs="Times New Roman"/>
      <w:sz w:val="21"/>
      <w:szCs w:val="22"/>
      <w:lang w:val="en-US" w:eastAsia="zh-CN" w:bidi="ar-SA"/>
    </w:rPr>
  </w:style>
  <w:style w:type="paragraph" w:styleId="841" w:customStyle="1">
    <w:name w:val="正文1"/>
    <w:basedOn w:val="840"/>
    <w:next w:val="842"/>
    <w:link w:val="1023"/>
    <w:uiPriority w:val="0"/>
    <w:qFormat/>
    <w:pPr>
      <w:ind w:firstLine="480"/>
      <w:spacing w:line="440" w:lineRule="exact"/>
    </w:pPr>
    <w:rPr>
      <w:rFonts w:ascii="微软雅黑" w:hAnsi="微软雅黑" w:eastAsia="微软雅黑"/>
      <w:sz w:val="24"/>
      <w:szCs w:val="20"/>
    </w:rPr>
  </w:style>
  <w:style w:type="paragraph" w:styleId="842" w:customStyle="1">
    <w:name w:val="正文文本1"/>
    <w:basedOn w:val="841"/>
    <w:next w:val="843"/>
    <w:uiPriority w:val="0"/>
    <w:qFormat/>
    <w:pPr>
      <w:spacing w:after="120"/>
    </w:pPr>
    <w:rPr>
      <w:lang w:eastAsia="en-US"/>
    </w:rPr>
  </w:style>
  <w:style w:type="paragraph" w:styleId="843" w:customStyle="1">
    <w:name w:val="一级条标题"/>
    <w:basedOn w:val="844"/>
    <w:next w:val="8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4" w:customStyle="1">
    <w:name w:val="章标题"/>
    <w:next w:val="78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5" w:customStyle="1">
    <w:name w:val="段"/>
    <w:next w:val="788"/>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846" w:customStyle="1">
    <w:name w:val="正文缩进1"/>
    <w:basedOn w:val="840"/>
    <w:link w:val="1025"/>
    <w:uiPriority w:val="0"/>
    <w:qFormat/>
    <w:pPr>
      <w:ind w:firstLine="420"/>
    </w:pPr>
  </w:style>
  <w:style w:type="paragraph" w:styleId="8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8" w:customStyle="1">
    <w:name w:val="标题 31"/>
    <w:basedOn w:val="841"/>
    <w:next w:val="788"/>
    <w:link w:val="1026"/>
    <w:uiPriority w:val="0"/>
    <w:qFormat/>
    <w:pPr>
      <w:numPr>
        <w:ilvl w:val="2"/>
        <w:numId w:val="1"/>
      </w:numPr>
      <w:jc w:val="left"/>
      <w:keepLines/>
      <w:keepNext/>
      <w:spacing w:before="312" w:after="312"/>
      <w:outlineLvl w:val="2"/>
    </w:pPr>
    <w:rPr>
      <w:rFonts w:ascii="Arial" w:hAnsi="Arial" w:eastAsia="黑体"/>
      <w:b/>
      <w:bCs/>
      <w:sz w:val="30"/>
      <w:szCs w:val="32"/>
    </w:rPr>
  </w:style>
  <w:style w:type="character" w:styleId="849" w:customStyle="1">
    <w:name w:val="Heading 1 Char"/>
    <w:basedOn w:val="798"/>
    <w:uiPriority w:val="9"/>
    <w:qFormat/>
    <w:rPr>
      <w:rFonts w:ascii="Arial" w:hAnsi="Arial" w:eastAsia="Arial" w:cs="Arial"/>
      <w:sz w:val="40"/>
      <w:szCs w:val="40"/>
    </w:rPr>
  </w:style>
  <w:style w:type="character" w:styleId="850" w:customStyle="1">
    <w:name w:val="Heading 2 Char"/>
    <w:basedOn w:val="798"/>
    <w:uiPriority w:val="9"/>
    <w:qFormat/>
    <w:rPr>
      <w:rFonts w:ascii="Arial" w:hAnsi="Arial" w:eastAsia="Arial" w:cs="Arial"/>
      <w:sz w:val="34"/>
    </w:rPr>
  </w:style>
  <w:style w:type="character" w:styleId="851" w:customStyle="1">
    <w:name w:val="Heading 3 Char"/>
    <w:basedOn w:val="798"/>
    <w:uiPriority w:val="9"/>
    <w:qFormat/>
    <w:rPr>
      <w:rFonts w:ascii="Arial" w:hAnsi="Arial" w:eastAsia="Arial" w:cs="Arial"/>
      <w:sz w:val="30"/>
      <w:szCs w:val="30"/>
    </w:rPr>
  </w:style>
  <w:style w:type="character" w:styleId="852" w:customStyle="1">
    <w:name w:val="Heading 4 Char"/>
    <w:basedOn w:val="798"/>
    <w:uiPriority w:val="9"/>
    <w:qFormat/>
    <w:rPr>
      <w:rFonts w:ascii="Arial" w:hAnsi="Arial" w:eastAsia="Arial" w:cs="Arial"/>
      <w:b/>
      <w:bCs/>
      <w:sz w:val="26"/>
      <w:szCs w:val="26"/>
    </w:rPr>
  </w:style>
  <w:style w:type="character" w:styleId="853" w:customStyle="1">
    <w:name w:val="Heading 5 Char"/>
    <w:basedOn w:val="798"/>
    <w:uiPriority w:val="9"/>
    <w:qFormat/>
    <w:rPr>
      <w:rFonts w:ascii="Arial" w:hAnsi="Arial" w:eastAsia="Arial" w:cs="Arial"/>
      <w:b/>
      <w:bCs/>
      <w:sz w:val="24"/>
      <w:szCs w:val="24"/>
    </w:rPr>
  </w:style>
  <w:style w:type="character" w:styleId="854" w:customStyle="1">
    <w:name w:val="Heading 6 Char"/>
    <w:basedOn w:val="798"/>
    <w:uiPriority w:val="9"/>
    <w:qFormat/>
    <w:rPr>
      <w:rFonts w:ascii="Arial" w:hAnsi="Arial" w:eastAsia="Arial" w:cs="Arial"/>
      <w:b/>
      <w:bCs/>
      <w:sz w:val="22"/>
      <w:szCs w:val="22"/>
    </w:rPr>
  </w:style>
  <w:style w:type="character" w:styleId="855" w:customStyle="1">
    <w:name w:val="Heading 7 Char"/>
    <w:basedOn w:val="798"/>
    <w:uiPriority w:val="9"/>
    <w:qFormat/>
    <w:rPr>
      <w:rFonts w:ascii="Arial" w:hAnsi="Arial" w:eastAsia="Arial" w:cs="Arial"/>
      <w:b/>
      <w:bCs/>
      <w:i/>
      <w:iCs/>
      <w:sz w:val="22"/>
      <w:szCs w:val="22"/>
    </w:rPr>
  </w:style>
  <w:style w:type="character" w:styleId="856" w:customStyle="1">
    <w:name w:val="Heading 8 Char"/>
    <w:basedOn w:val="798"/>
    <w:uiPriority w:val="9"/>
    <w:qFormat/>
    <w:rPr>
      <w:rFonts w:ascii="Arial" w:hAnsi="Arial" w:eastAsia="Arial" w:cs="Arial"/>
      <w:i/>
      <w:iCs/>
      <w:sz w:val="22"/>
      <w:szCs w:val="22"/>
    </w:rPr>
  </w:style>
  <w:style w:type="character" w:styleId="857" w:customStyle="1">
    <w:name w:val="Heading 9 Char"/>
    <w:basedOn w:val="798"/>
    <w:uiPriority w:val="9"/>
    <w:qFormat/>
    <w:rPr>
      <w:rFonts w:ascii="Arial" w:hAnsi="Arial" w:eastAsia="Arial" w:cs="Arial"/>
      <w:i/>
      <w:iCs/>
      <w:sz w:val="21"/>
      <w:szCs w:val="21"/>
    </w:rPr>
  </w:style>
  <w:style w:type="character" w:styleId="858" w:customStyle="1">
    <w:name w:val="Title Char"/>
    <w:basedOn w:val="798"/>
    <w:uiPriority w:val="10"/>
    <w:qFormat/>
    <w:rPr>
      <w:sz w:val="48"/>
      <w:szCs w:val="48"/>
    </w:rPr>
  </w:style>
  <w:style w:type="character" w:styleId="859" w:customStyle="1">
    <w:name w:val="Subtitle Char"/>
    <w:basedOn w:val="798"/>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798"/>
    <w:uiPriority w:val="99"/>
    <w:qFormat/>
  </w:style>
  <w:style w:type="character" w:styleId="863" w:customStyle="1">
    <w:name w:val="Caption Char"/>
    <w:uiPriority w:val="99"/>
    <w:qFormat/>
  </w:style>
  <w:style w:type="table" w:styleId="864"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清单表 1 浅色1"/>
    <w:basedOn w:val="79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9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清单表 7 彩色1"/>
    <w:basedOn w:val="79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TOC 标题1"/>
    <w:uiPriority w:val="39"/>
    <w:unhideWhenUsed/>
    <w:qFormat/>
    <w:rPr>
      <w:rFonts w:ascii="Times New Roman" w:hAnsi="Times New Roman" w:eastAsia="宋体" w:cs="Times New Roman"/>
      <w:lang w:val="en-US" w:eastAsia="zh-CN" w:bidi="ar-SA"/>
    </w:rPr>
  </w:style>
  <w:style w:type="character" w:styleId="886" w:customStyle="1">
    <w:name w:val="标题 1 Char"/>
    <w:link w:val="789"/>
    <w:uiPriority w:val="9"/>
    <w:qFormat/>
    <w:rPr>
      <w:rFonts w:ascii="Arial" w:hAnsi="Arial" w:eastAsia="Arial" w:cs="Arial"/>
      <w:sz w:val="40"/>
      <w:szCs w:val="40"/>
    </w:rPr>
  </w:style>
  <w:style w:type="character" w:styleId="887" w:customStyle="1">
    <w:name w:val="标题 2 Char"/>
    <w:link w:val="790"/>
    <w:uiPriority w:val="9"/>
    <w:qFormat/>
    <w:rPr>
      <w:rFonts w:ascii="Arial" w:hAnsi="Arial" w:eastAsia="Arial" w:cs="Arial"/>
      <w:sz w:val="34"/>
    </w:rPr>
  </w:style>
  <w:style w:type="character" w:styleId="888" w:customStyle="1">
    <w:name w:val="标题 3 Char"/>
    <w:link w:val="791"/>
    <w:uiPriority w:val="9"/>
    <w:qFormat/>
    <w:rPr>
      <w:rFonts w:ascii="Arial" w:hAnsi="Arial" w:eastAsia="Arial" w:cs="Arial"/>
      <w:sz w:val="30"/>
      <w:szCs w:val="30"/>
    </w:rPr>
  </w:style>
  <w:style w:type="character" w:styleId="889" w:customStyle="1">
    <w:name w:val="标题 4 Char"/>
    <w:link w:val="792"/>
    <w:uiPriority w:val="9"/>
    <w:qFormat/>
    <w:rPr>
      <w:rFonts w:ascii="Arial" w:hAnsi="Arial" w:eastAsia="Arial" w:cs="Arial"/>
      <w:b/>
      <w:bCs/>
      <w:sz w:val="26"/>
      <w:szCs w:val="26"/>
    </w:rPr>
  </w:style>
  <w:style w:type="character" w:styleId="890" w:customStyle="1">
    <w:name w:val="标题 5 Char"/>
    <w:link w:val="793"/>
    <w:uiPriority w:val="9"/>
    <w:qFormat/>
    <w:rPr>
      <w:rFonts w:ascii="Arial" w:hAnsi="Arial" w:eastAsia="Arial" w:cs="Arial"/>
      <w:b/>
      <w:bCs/>
      <w:sz w:val="24"/>
      <w:szCs w:val="24"/>
    </w:rPr>
  </w:style>
  <w:style w:type="character" w:styleId="891" w:customStyle="1">
    <w:name w:val="标题 6 Char"/>
    <w:link w:val="794"/>
    <w:uiPriority w:val="9"/>
    <w:qFormat/>
    <w:rPr>
      <w:rFonts w:ascii="Arial" w:hAnsi="Arial" w:eastAsia="Arial" w:cs="Arial"/>
      <w:b/>
      <w:bCs/>
      <w:sz w:val="22"/>
      <w:szCs w:val="22"/>
    </w:rPr>
  </w:style>
  <w:style w:type="character" w:styleId="892" w:customStyle="1">
    <w:name w:val="标题 7 Char"/>
    <w:link w:val="795"/>
    <w:uiPriority w:val="9"/>
    <w:qFormat/>
    <w:rPr>
      <w:rFonts w:ascii="Arial" w:hAnsi="Arial" w:eastAsia="Arial" w:cs="Arial"/>
      <w:b/>
      <w:bCs/>
      <w:i/>
      <w:iCs/>
      <w:sz w:val="22"/>
      <w:szCs w:val="22"/>
    </w:rPr>
  </w:style>
  <w:style w:type="character" w:styleId="893" w:customStyle="1">
    <w:name w:val="标题 8 Char"/>
    <w:link w:val="796"/>
    <w:uiPriority w:val="9"/>
    <w:qFormat/>
    <w:rPr>
      <w:rFonts w:ascii="Arial" w:hAnsi="Arial" w:eastAsia="Arial" w:cs="Arial"/>
      <w:i/>
      <w:iCs/>
      <w:sz w:val="22"/>
      <w:szCs w:val="22"/>
    </w:rPr>
  </w:style>
  <w:style w:type="character" w:styleId="894" w:customStyle="1">
    <w:name w:val="标题 9 Char"/>
    <w:link w:val="797"/>
    <w:uiPriority w:val="9"/>
    <w:qFormat/>
    <w:rPr>
      <w:rFonts w:ascii="Arial" w:hAnsi="Arial" w:eastAsia="Arial" w:cs="Arial"/>
      <w:i/>
      <w:iCs/>
      <w:sz w:val="21"/>
      <w:szCs w:val="21"/>
    </w:rPr>
  </w:style>
  <w:style w:type="paragraph" w:styleId="895">
    <w:name w:val="No Spacing"/>
    <w:uiPriority w:val="1"/>
    <w:qFormat/>
    <w:rPr>
      <w:rFonts w:ascii="Times New Roman" w:hAnsi="Times New Roman" w:eastAsia="宋体" w:cs="Times New Roman"/>
      <w:lang w:val="en-US" w:eastAsia="zh-CN" w:bidi="ar-SA"/>
    </w:rPr>
  </w:style>
  <w:style w:type="character" w:styleId="896" w:customStyle="1">
    <w:name w:val="标题 Char"/>
    <w:link w:val="826"/>
    <w:uiPriority w:val="10"/>
    <w:qFormat/>
    <w:rPr>
      <w:sz w:val="48"/>
      <w:szCs w:val="48"/>
    </w:rPr>
  </w:style>
  <w:style w:type="character" w:styleId="897" w:customStyle="1">
    <w:name w:val="副标题 Char"/>
    <w:link w:val="818"/>
    <w:uiPriority w:val="11"/>
    <w:qFormat/>
    <w:rPr>
      <w:sz w:val="24"/>
      <w:szCs w:val="24"/>
    </w:rPr>
  </w:style>
  <w:style w:type="paragraph" w:styleId="898">
    <w:name w:val="Quote"/>
    <w:link w:val="899"/>
    <w:uiPriority w:val="29"/>
    <w:qFormat/>
    <w:pPr>
      <w:ind w:left="720" w:right="720"/>
    </w:pPr>
    <w:rPr>
      <w:rFonts w:ascii="Times New Roman" w:hAnsi="Times New Roman" w:eastAsia="宋体" w:cs="Times New Roman"/>
      <w:i/>
      <w:lang w:val="en-US" w:eastAsia="zh-CN" w:bidi="ar-SA"/>
    </w:rPr>
  </w:style>
  <w:style w:type="character" w:styleId="899" w:customStyle="1">
    <w:name w:val="引用 Char"/>
    <w:link w:val="898"/>
    <w:uiPriority w:val="29"/>
    <w:qFormat/>
    <w:rPr>
      <w:i/>
    </w:rPr>
  </w:style>
  <w:style w:type="paragraph" w:styleId="900">
    <w:name w:val="Intense Quote"/>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01" w:customStyle="1">
    <w:name w:val="明显引用 Char"/>
    <w:link w:val="900"/>
    <w:uiPriority w:val="30"/>
    <w:qFormat/>
    <w:rPr>
      <w:i/>
    </w:rPr>
  </w:style>
  <w:style w:type="character" w:styleId="902" w:customStyle="1">
    <w:name w:val="页眉 Char"/>
    <w:link w:val="815"/>
    <w:uiPriority w:val="99"/>
    <w:qFormat/>
  </w:style>
  <w:style w:type="character" w:styleId="903" w:customStyle="1">
    <w:name w:val="Footer Char"/>
    <w:uiPriority w:val="99"/>
    <w:qFormat/>
  </w:style>
  <w:style w:type="character" w:styleId="904" w:customStyle="1">
    <w:name w:val="页脚 Char"/>
    <w:link w:val="813"/>
    <w:uiPriority w:val="99"/>
    <w:qFormat/>
  </w:style>
  <w:style w:type="table" w:styleId="9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脚注文本 Char"/>
    <w:link w:val="819"/>
    <w:uiPriority w:val="99"/>
    <w:qFormat/>
    <w:rPr>
      <w:sz w:val="18"/>
    </w:rPr>
  </w:style>
  <w:style w:type="character" w:styleId="1012" w:customStyle="1">
    <w:name w:val="尾注文本 Char"/>
    <w:link w:val="811"/>
    <w:uiPriority w:val="99"/>
    <w:qFormat/>
    <w:rPr>
      <w:sz w:val="20"/>
    </w:rPr>
  </w:style>
  <w:style w:type="paragraph" w:styleId="1013" w:customStyle="1">
    <w:name w:val="TOC 标题11"/>
    <w:uiPriority w:val="39"/>
    <w:unhideWhenUsed/>
    <w:qFormat/>
    <w:rPr>
      <w:rFonts w:ascii="Times New Roman" w:hAnsi="Times New Roman" w:eastAsia="宋体" w:cs="Times New Roman"/>
      <w:lang w:val="en-US" w:eastAsia="zh-CN" w:bidi="ar-SA"/>
    </w:rPr>
  </w:style>
  <w:style w:type="paragraph" w:styleId="1014" w:customStyle="1">
    <w:name w:val="标题 11"/>
    <w:basedOn w:val="840"/>
    <w:next w:val="840"/>
    <w:link w:val="1024"/>
    <w:uiPriority w:val="0"/>
    <w:qFormat/>
    <w:pPr>
      <w:keepLines/>
      <w:keepNext/>
      <w:spacing w:before="340" w:after="330" w:line="578" w:lineRule="auto"/>
      <w:outlineLvl w:val="0"/>
    </w:pPr>
    <w:rPr>
      <w:b/>
      <w:bCs/>
      <w:sz w:val="44"/>
      <w:szCs w:val="44"/>
    </w:rPr>
  </w:style>
  <w:style w:type="paragraph" w:styleId="1015" w:customStyle="1">
    <w:name w:val="标题 41"/>
    <w:basedOn w:val="840"/>
    <w:next w:val="846"/>
    <w:link w:val="1027"/>
    <w:uiPriority w:val="0"/>
    <w:qFormat/>
    <w:pPr>
      <w:spacing w:before="280" w:after="290" w:line="377" w:lineRule="auto"/>
      <w:outlineLvl w:val="3"/>
    </w:pPr>
    <w:rPr>
      <w:rFonts w:ascii="Arial" w:hAnsi="Arial" w:eastAsia="黑体"/>
      <w:b/>
      <w:bCs/>
      <w:sz w:val="28"/>
      <w:szCs w:val="28"/>
    </w:rPr>
  </w:style>
  <w:style w:type="paragraph" w:styleId="1016" w:customStyle="1">
    <w:name w:val="标题 51"/>
    <w:basedOn w:val="840"/>
    <w:next w:val="840"/>
    <w:link w:val="1028"/>
    <w:uiPriority w:val="0"/>
    <w:qFormat/>
    <w:pPr>
      <w:keepLines/>
      <w:keepNext/>
      <w:spacing w:before="280" w:after="290" w:line="376" w:lineRule="auto"/>
      <w:outlineLvl w:val="4"/>
    </w:pPr>
    <w:rPr>
      <w:rFonts w:ascii="Calibri" w:hAnsi="Calibri"/>
      <w:b/>
      <w:bCs/>
      <w:sz w:val="28"/>
      <w:szCs w:val="28"/>
    </w:rPr>
  </w:style>
  <w:style w:type="paragraph" w:styleId="1017" w:customStyle="1">
    <w:name w:val="标题 61"/>
    <w:basedOn w:val="840"/>
    <w:next w:val="840"/>
    <w:link w:val="1029"/>
    <w:uiPriority w:val="0"/>
    <w:qFormat/>
    <w:pPr>
      <w:ind w:left="1152" w:hanging="1152"/>
      <w:keepLines/>
      <w:keepNext/>
      <w:spacing w:before="240" w:after="64" w:line="320" w:lineRule="auto"/>
      <w:outlineLvl w:val="5"/>
    </w:pPr>
    <w:rPr>
      <w:rFonts w:ascii="Cambria" w:hAnsi="Cambria"/>
      <w:b/>
      <w:bCs/>
      <w:sz w:val="24"/>
      <w:szCs w:val="24"/>
    </w:rPr>
  </w:style>
  <w:style w:type="paragraph" w:styleId="1018" w:customStyle="1">
    <w:name w:val="标题 71"/>
    <w:basedOn w:val="840"/>
    <w:next w:val="840"/>
    <w:link w:val="1030"/>
    <w:uiPriority w:val="0"/>
    <w:qFormat/>
    <w:pPr>
      <w:ind w:left="1296" w:hanging="1296"/>
      <w:keepLines/>
      <w:keepNext/>
      <w:spacing w:before="240" w:after="64" w:line="320" w:lineRule="auto"/>
      <w:outlineLvl w:val="6"/>
    </w:pPr>
    <w:rPr>
      <w:b/>
      <w:bCs/>
      <w:sz w:val="24"/>
      <w:szCs w:val="24"/>
    </w:rPr>
  </w:style>
  <w:style w:type="paragraph" w:styleId="1019" w:customStyle="1">
    <w:name w:val="标题 81"/>
    <w:basedOn w:val="840"/>
    <w:next w:val="840"/>
    <w:link w:val="1031"/>
    <w:uiPriority w:val="0"/>
    <w:qFormat/>
    <w:pPr>
      <w:ind w:left="1440" w:hanging="1440"/>
      <w:keepLines/>
      <w:keepNext/>
      <w:spacing w:before="240" w:after="64" w:line="320" w:lineRule="auto"/>
      <w:outlineLvl w:val="7"/>
    </w:pPr>
    <w:rPr>
      <w:rFonts w:ascii="Cambria" w:hAnsi="Cambria"/>
      <w:sz w:val="24"/>
      <w:szCs w:val="24"/>
    </w:rPr>
  </w:style>
  <w:style w:type="paragraph" w:styleId="1020" w:customStyle="1">
    <w:name w:val="标题 91"/>
    <w:basedOn w:val="840"/>
    <w:next w:val="840"/>
    <w:link w:val="1032"/>
    <w:uiPriority w:val="0"/>
    <w:qFormat/>
    <w:pPr>
      <w:ind w:left="1584" w:hanging="1584"/>
      <w:keepLines/>
      <w:keepNext/>
      <w:spacing w:before="240" w:after="64" w:line="320" w:lineRule="auto"/>
      <w:outlineLvl w:val="8"/>
    </w:pPr>
    <w:rPr>
      <w:rFonts w:ascii="Cambria" w:hAnsi="Cambria"/>
      <w:sz w:val="20"/>
      <w:szCs w:val="21"/>
    </w:rPr>
  </w:style>
  <w:style w:type="character" w:styleId="1021" w:customStyle="1">
    <w:name w:val="默认段落字体1"/>
    <w:uiPriority w:val="0"/>
    <w:qFormat/>
  </w:style>
  <w:style w:type="table" w:styleId="1022" w:customStyle="1">
    <w:name w:val="普通表格1"/>
    <w:uiPriority w:val="0"/>
    <w:qFormat/>
    <w:tblPr>
      <w:tblCellMar>
        <w:left w:w="0" w:type="dxa"/>
        <w:top w:w="0" w:type="dxa"/>
        <w:right w:w="0" w:type="dxa"/>
        <w:bottom w:w="0" w:type="dxa"/>
      </w:tblCellMar>
    </w:tblPr>
  </w:style>
  <w:style w:type="character" w:styleId="1023" w:customStyle="1">
    <w:name w:val="正文1 Char Char"/>
    <w:link w:val="841"/>
    <w:uiPriority w:val="0"/>
    <w:qFormat/>
    <w:rPr>
      <w:rFonts w:ascii="微软雅黑" w:hAnsi="微软雅黑" w:eastAsia="微软雅黑"/>
      <w:sz w:val="24"/>
    </w:rPr>
  </w:style>
  <w:style w:type="character" w:styleId="1024" w:customStyle="1">
    <w:name w:val="标题 1 字符"/>
    <w:link w:val="1014"/>
    <w:uiPriority w:val="0"/>
    <w:qFormat/>
    <w:rPr>
      <w:b/>
      <w:bCs/>
      <w:sz w:val="44"/>
      <w:szCs w:val="44"/>
    </w:rPr>
  </w:style>
  <w:style w:type="character" w:styleId="1025" w:customStyle="1">
    <w:name w:val="正文缩进 字符"/>
    <w:link w:val="846"/>
    <w:uiPriority w:val="0"/>
    <w:qFormat/>
  </w:style>
  <w:style w:type="character" w:styleId="1026" w:customStyle="1">
    <w:name w:val="标题 3 字符"/>
    <w:link w:val="848"/>
    <w:uiPriority w:val="0"/>
    <w:qFormat/>
    <w:rPr>
      <w:rFonts w:ascii="Arial" w:hAnsi="Arial" w:eastAsia="黑体"/>
      <w:b/>
      <w:bCs/>
      <w:sz w:val="30"/>
      <w:szCs w:val="32"/>
    </w:rPr>
  </w:style>
  <w:style w:type="character" w:styleId="1027" w:customStyle="1">
    <w:name w:val="标题 4 字符"/>
    <w:link w:val="1015"/>
    <w:uiPriority w:val="0"/>
    <w:qFormat/>
    <w:rPr>
      <w:rFonts w:ascii="Arial" w:hAnsi="Arial" w:eastAsia="黑体"/>
      <w:b/>
      <w:bCs/>
      <w:sz w:val="28"/>
      <w:szCs w:val="28"/>
    </w:rPr>
  </w:style>
  <w:style w:type="character" w:styleId="1028" w:customStyle="1">
    <w:name w:val="标题 5 字符1"/>
    <w:link w:val="1016"/>
    <w:uiPriority w:val="0"/>
    <w:qFormat/>
    <w:rPr>
      <w:rFonts w:ascii="Calibri" w:hAnsi="Calibri" w:eastAsia="宋体"/>
      <w:b/>
      <w:bCs/>
      <w:sz w:val="28"/>
      <w:szCs w:val="28"/>
    </w:rPr>
  </w:style>
  <w:style w:type="character" w:styleId="1029" w:customStyle="1">
    <w:name w:val="标题 6 字符"/>
    <w:link w:val="1017"/>
    <w:uiPriority w:val="0"/>
    <w:qFormat/>
    <w:rPr>
      <w:rFonts w:ascii="Cambria" w:hAnsi="Cambria" w:eastAsia="宋体"/>
      <w:b/>
      <w:bCs/>
      <w:sz w:val="24"/>
      <w:szCs w:val="24"/>
    </w:rPr>
  </w:style>
  <w:style w:type="character" w:styleId="1030" w:customStyle="1">
    <w:name w:val="标题 7 字符"/>
    <w:link w:val="1018"/>
    <w:uiPriority w:val="0"/>
    <w:qFormat/>
    <w:rPr>
      <w:rFonts w:ascii="Times New Roman" w:hAnsi="Times New Roman" w:eastAsia="宋体"/>
      <w:b/>
      <w:bCs/>
      <w:sz w:val="24"/>
      <w:szCs w:val="24"/>
    </w:rPr>
  </w:style>
  <w:style w:type="character" w:styleId="1031" w:customStyle="1">
    <w:name w:val="标题 8 字符"/>
    <w:link w:val="1019"/>
    <w:uiPriority w:val="0"/>
    <w:qFormat/>
    <w:rPr>
      <w:rFonts w:ascii="Cambria" w:hAnsi="Cambria" w:eastAsia="宋体"/>
      <w:sz w:val="24"/>
      <w:szCs w:val="24"/>
    </w:rPr>
  </w:style>
  <w:style w:type="character" w:styleId="1032" w:customStyle="1">
    <w:name w:val="标题 9 字符"/>
    <w:link w:val="1020"/>
    <w:uiPriority w:val="0"/>
    <w:qFormat/>
    <w:rPr>
      <w:rFonts w:ascii="Cambria" w:hAnsi="Cambria" w:eastAsia="宋体"/>
      <w:sz w:val="20"/>
      <w:szCs w:val="21"/>
    </w:rPr>
  </w:style>
  <w:style w:type="paragraph" w:styleId="1033" w:customStyle="1">
    <w:name w:val="文档结构图1"/>
    <w:basedOn w:val="840"/>
    <w:link w:val="1034"/>
    <w:uiPriority w:val="0"/>
    <w:qFormat/>
    <w:rPr>
      <w:rFonts w:ascii="宋体"/>
      <w:sz w:val="18"/>
      <w:szCs w:val="18"/>
    </w:rPr>
  </w:style>
  <w:style w:type="character" w:styleId="1034" w:customStyle="1">
    <w:name w:val="文档结构图 字符"/>
    <w:link w:val="1033"/>
    <w:uiPriority w:val="0"/>
    <w:qFormat/>
    <w:rPr>
      <w:rFonts w:ascii="宋体" w:hAnsi="Times New Roman"/>
      <w:sz w:val="18"/>
      <w:szCs w:val="18"/>
    </w:rPr>
  </w:style>
  <w:style w:type="paragraph" w:styleId="1035" w:customStyle="1">
    <w:name w:val="批注文字1"/>
    <w:basedOn w:val="840"/>
    <w:link w:val="1036"/>
    <w:uiPriority w:val="0"/>
    <w:qFormat/>
    <w:pPr>
      <w:jc w:val="left"/>
    </w:pPr>
    <w:rPr>
      <w:sz w:val="20"/>
      <w:szCs w:val="24"/>
    </w:rPr>
  </w:style>
  <w:style w:type="character" w:styleId="1036" w:customStyle="1">
    <w:name w:val="批注文字 字符"/>
    <w:link w:val="1035"/>
    <w:uiPriority w:val="0"/>
    <w:qFormat/>
    <w:rPr>
      <w:rFonts w:ascii="Times New Roman" w:hAnsi="Times New Roman" w:eastAsia="宋体"/>
      <w:sz w:val="24"/>
      <w:szCs w:val="24"/>
    </w:rPr>
  </w:style>
  <w:style w:type="paragraph" w:styleId="1037" w:customStyle="1">
    <w:name w:val="正文文本 31"/>
    <w:basedOn w:val="840"/>
    <w:link w:val="1038"/>
    <w:uiPriority w:val="0"/>
    <w:qFormat/>
    <w:rPr>
      <w:rFonts w:ascii="宋体"/>
      <w:sz w:val="24"/>
      <w:szCs w:val="20"/>
    </w:rPr>
  </w:style>
  <w:style w:type="character" w:styleId="1038" w:customStyle="1">
    <w:name w:val="正文文本 3 字符"/>
    <w:link w:val="1037"/>
    <w:uiPriority w:val="0"/>
    <w:qFormat/>
    <w:rPr>
      <w:rFonts w:ascii="宋体" w:hAnsi="Times New Roman"/>
      <w:sz w:val="24"/>
    </w:rPr>
  </w:style>
  <w:style w:type="paragraph" w:styleId="1039" w:customStyle="1">
    <w:name w:val="正文文本2"/>
    <w:basedOn w:val="840"/>
    <w:next w:val="840"/>
    <w:link w:val="1040"/>
    <w:uiPriority w:val="0"/>
    <w:qFormat/>
    <w:rPr>
      <w:rFonts w:ascii="楷体_GB2312" w:hAnsi="Arial" w:eastAsia="楷体_GB2312"/>
      <w:sz w:val="28"/>
      <w:szCs w:val="28"/>
    </w:rPr>
  </w:style>
  <w:style w:type="character" w:styleId="1040" w:customStyle="1">
    <w:name w:val="正文文本 字符"/>
    <w:link w:val="1039"/>
    <w:uiPriority w:val="0"/>
    <w:qFormat/>
    <w:rPr>
      <w:rFonts w:ascii="楷体_GB2312" w:hAnsi="Arial" w:eastAsia="楷体_GB2312"/>
      <w:sz w:val="28"/>
      <w:szCs w:val="28"/>
    </w:rPr>
  </w:style>
  <w:style w:type="paragraph" w:styleId="1041" w:customStyle="1">
    <w:name w:val="正文文本缩进1"/>
    <w:basedOn w:val="840"/>
    <w:next w:val="840"/>
    <w:link w:val="1042"/>
    <w:uiPriority w:val="0"/>
    <w:qFormat/>
    <w:pPr>
      <w:ind w:left="420"/>
      <w:spacing w:after="120"/>
    </w:pPr>
    <w:rPr>
      <w:sz w:val="20"/>
      <w:szCs w:val="24"/>
    </w:rPr>
  </w:style>
  <w:style w:type="character" w:styleId="1042" w:customStyle="1">
    <w:name w:val="正文文本缩进 字符"/>
    <w:link w:val="1041"/>
    <w:uiPriority w:val="0"/>
    <w:qFormat/>
    <w:rPr>
      <w:rFonts w:ascii="Times New Roman" w:hAnsi="Times New Roman"/>
      <w:sz w:val="24"/>
      <w:szCs w:val="24"/>
    </w:rPr>
  </w:style>
  <w:style w:type="paragraph" w:styleId="1043" w:customStyle="1">
    <w:name w:val="列表项目符号 21"/>
    <w:basedOn w:val="840"/>
    <w:uiPriority w:val="0"/>
    <w:qFormat/>
    <w:pPr>
      <w:ind w:left="780" w:hanging="360"/>
      <w:tabs>
        <w:tab w:val="left" w:pos="780" w:leader="none"/>
      </w:tabs>
    </w:pPr>
  </w:style>
  <w:style w:type="paragraph" w:styleId="1044" w:customStyle="1">
    <w:name w:val="目录 31"/>
    <w:basedOn w:val="840"/>
    <w:next w:val="840"/>
    <w:uiPriority w:val="0"/>
    <w:qFormat/>
    <w:pPr>
      <w:ind w:left="840"/>
    </w:pPr>
    <w:rPr>
      <w:rFonts w:ascii="Calibri" w:hAnsi="Calibri"/>
    </w:rPr>
  </w:style>
  <w:style w:type="paragraph" w:styleId="1045" w:customStyle="1">
    <w:name w:val="纯文本11"/>
    <w:basedOn w:val="840"/>
    <w:link w:val="1046"/>
    <w:uiPriority w:val="0"/>
    <w:qFormat/>
    <w:rPr>
      <w:rFonts w:ascii="宋体" w:hAnsi="Courier New"/>
      <w:sz w:val="20"/>
      <w:szCs w:val="21"/>
    </w:rPr>
  </w:style>
  <w:style w:type="character" w:styleId="1046" w:customStyle="1">
    <w:name w:val="纯文本 字符"/>
    <w:link w:val="1045"/>
    <w:uiPriority w:val="0"/>
    <w:qFormat/>
    <w:rPr>
      <w:rFonts w:ascii="宋体" w:hAnsi="Courier New" w:eastAsia="宋体"/>
      <w:sz w:val="21"/>
      <w:szCs w:val="21"/>
    </w:rPr>
  </w:style>
  <w:style w:type="paragraph" w:styleId="1047" w:customStyle="1">
    <w:name w:val="正文文本缩进 21"/>
    <w:basedOn w:val="840"/>
    <w:link w:val="1048"/>
    <w:uiPriority w:val="0"/>
    <w:qFormat/>
    <w:pPr>
      <w:ind w:firstLine="562"/>
      <w:spacing w:line="480" w:lineRule="exact"/>
    </w:pPr>
    <w:rPr>
      <w:rFonts w:ascii="楷体_GB2312" w:eastAsia="楷体_GB2312"/>
      <w:b/>
      <w:bCs/>
      <w:sz w:val="28"/>
      <w:szCs w:val="24"/>
    </w:rPr>
  </w:style>
  <w:style w:type="character" w:styleId="1048" w:customStyle="1">
    <w:name w:val="正文文本缩进 2 字符"/>
    <w:link w:val="1047"/>
    <w:uiPriority w:val="0"/>
    <w:qFormat/>
    <w:rPr>
      <w:rFonts w:ascii="楷体_GB2312" w:hAnsi="Times New Roman" w:eastAsia="楷体_GB2312"/>
      <w:b/>
      <w:bCs/>
      <w:sz w:val="28"/>
      <w:szCs w:val="24"/>
    </w:rPr>
  </w:style>
  <w:style w:type="paragraph" w:styleId="1049" w:customStyle="1">
    <w:name w:val="批注框文本1"/>
    <w:basedOn w:val="840"/>
    <w:link w:val="1050"/>
    <w:uiPriority w:val="0"/>
    <w:qFormat/>
    <w:rPr>
      <w:sz w:val="18"/>
      <w:szCs w:val="18"/>
    </w:rPr>
  </w:style>
  <w:style w:type="character" w:styleId="1050" w:customStyle="1">
    <w:name w:val="批注框文本 字符"/>
    <w:link w:val="1049"/>
    <w:uiPriority w:val="0"/>
    <w:qFormat/>
    <w:rPr>
      <w:sz w:val="18"/>
      <w:szCs w:val="18"/>
    </w:rPr>
  </w:style>
  <w:style w:type="paragraph" w:styleId="1051" w:customStyle="1">
    <w:name w:val="页脚1"/>
    <w:basedOn w:val="840"/>
    <w:link w:val="1052"/>
    <w:uiPriority w:val="0"/>
    <w:qFormat/>
    <w:pPr>
      <w:jc w:val="left"/>
      <w:tabs>
        <w:tab w:val="center" w:pos="4153" w:leader="none"/>
        <w:tab w:val="right" w:pos="8306" w:leader="none"/>
      </w:tabs>
    </w:pPr>
    <w:rPr>
      <w:sz w:val="18"/>
      <w:szCs w:val="18"/>
    </w:rPr>
  </w:style>
  <w:style w:type="character" w:styleId="1052" w:customStyle="1">
    <w:name w:val="页脚 字符"/>
    <w:link w:val="1051"/>
    <w:uiPriority w:val="99"/>
    <w:qFormat/>
    <w:rPr>
      <w:rFonts w:ascii="Times New Roman" w:hAnsi="Times New Roman" w:eastAsia="宋体"/>
      <w:sz w:val="18"/>
      <w:szCs w:val="18"/>
    </w:rPr>
  </w:style>
  <w:style w:type="paragraph" w:styleId="1053" w:customStyle="1">
    <w:name w:val="寄信人地址1"/>
    <w:basedOn w:val="840"/>
    <w:uiPriority w:val="0"/>
    <w:qFormat/>
    <w:rPr>
      <w:rFonts w:ascii="Arial" w:hAnsi="Arial"/>
    </w:rPr>
  </w:style>
  <w:style w:type="paragraph" w:styleId="1054" w:customStyle="1">
    <w:name w:val="页眉1"/>
    <w:basedOn w:val="840"/>
    <w:link w:val="1055"/>
    <w:uiPriority w:val="0"/>
    <w:qFormat/>
    <w:pPr>
      <w:jc w:val="center"/>
      <w:tabs>
        <w:tab w:val="center" w:pos="4153" w:leader="none"/>
        <w:tab w:val="right" w:pos="8306" w:leader="none"/>
      </w:tabs>
      <w:pBdr>
        <w:bottom w:val="single" w:color="000000" w:sz="6" w:space="1"/>
      </w:pBdr>
    </w:pPr>
    <w:rPr>
      <w:sz w:val="18"/>
      <w:szCs w:val="18"/>
    </w:rPr>
  </w:style>
  <w:style w:type="character" w:styleId="1055" w:customStyle="1">
    <w:name w:val="页眉 字符"/>
    <w:link w:val="1054"/>
    <w:uiPriority w:val="0"/>
    <w:qFormat/>
    <w:rPr>
      <w:rFonts w:ascii="Times New Roman" w:hAnsi="Times New Roman" w:eastAsia="宋体"/>
      <w:sz w:val="18"/>
      <w:szCs w:val="18"/>
    </w:rPr>
  </w:style>
  <w:style w:type="paragraph" w:styleId="1056" w:customStyle="1">
    <w:name w:val="目录 11"/>
    <w:basedOn w:val="840"/>
    <w:next w:val="840"/>
    <w:uiPriority w:val="0"/>
    <w:qFormat/>
    <w:rPr>
      <w:rFonts w:ascii="Calibri" w:hAnsi="Calibri"/>
    </w:rPr>
  </w:style>
  <w:style w:type="paragraph" w:styleId="1057" w:customStyle="1">
    <w:name w:val="图表目录1"/>
    <w:basedOn w:val="840"/>
    <w:next w:val="840"/>
    <w:uiPriority w:val="0"/>
    <w:semiHidden/>
    <w:qFormat/>
    <w:pPr>
      <w:ind w:left="840" w:hanging="420"/>
      <w:spacing w:before="156" w:after="156"/>
    </w:pPr>
    <w:rPr>
      <w:sz w:val="24"/>
      <w:szCs w:val="24"/>
    </w:rPr>
  </w:style>
  <w:style w:type="paragraph" w:styleId="1058" w:customStyle="1">
    <w:name w:val="目录 21"/>
    <w:basedOn w:val="840"/>
    <w:next w:val="840"/>
    <w:uiPriority w:val="0"/>
    <w:qFormat/>
    <w:pPr>
      <w:ind w:left="420"/>
    </w:pPr>
    <w:rPr>
      <w:rFonts w:ascii="Calibri" w:hAnsi="Calibri"/>
    </w:rPr>
  </w:style>
  <w:style w:type="paragraph" w:styleId="1059" w:customStyle="1">
    <w:name w:val="目录 91"/>
    <w:basedOn w:val="840"/>
    <w:next w:val="840"/>
    <w:uiPriority w:val="0"/>
    <w:semiHidden/>
    <w:qFormat/>
    <w:pPr>
      <w:ind w:left="3360"/>
    </w:pPr>
  </w:style>
  <w:style w:type="paragraph" w:styleId="1060" w:customStyle="1">
    <w:name w:val="普通(网站)1"/>
    <w:basedOn w:val="840"/>
    <w:uiPriority w:val="0"/>
    <w:qFormat/>
    <w:rPr>
      <w:sz w:val="24"/>
    </w:rPr>
  </w:style>
  <w:style w:type="paragraph" w:styleId="1061" w:customStyle="1">
    <w:name w:val="批注主题1"/>
    <w:basedOn w:val="1035"/>
    <w:next w:val="1035"/>
    <w:link w:val="1062"/>
    <w:uiPriority w:val="0"/>
    <w:qFormat/>
    <w:rPr>
      <w:b/>
      <w:bCs/>
      <w:szCs w:val="20"/>
    </w:rPr>
  </w:style>
  <w:style w:type="character" w:styleId="1062" w:customStyle="1">
    <w:name w:val="批注主题 字符"/>
    <w:link w:val="1061"/>
    <w:uiPriority w:val="0"/>
    <w:qFormat/>
    <w:rPr>
      <w:b/>
      <w:bCs/>
    </w:rPr>
  </w:style>
  <w:style w:type="paragraph" w:styleId="1063" w:customStyle="1">
    <w:name w:val="正文首行缩进1"/>
    <w:basedOn w:val="1039"/>
    <w:uiPriority w:val="0"/>
    <w:qFormat/>
    <w:pPr>
      <w:ind w:left="300" w:firstLine="420"/>
      <w:spacing w:after="120"/>
    </w:pPr>
    <w:rPr>
      <w:rFonts w:ascii="宋体" w:hAnsi="Verdana"/>
      <w:lang w:val="en-GB"/>
    </w:rPr>
  </w:style>
  <w:style w:type="paragraph" w:styleId="1064" w:customStyle="1">
    <w:name w:val="正文首行缩进 21"/>
    <w:basedOn w:val="1041"/>
    <w:uiPriority w:val="0"/>
    <w:qFormat/>
    <w:pPr>
      <w:ind w:firstLine="420"/>
    </w:pPr>
  </w:style>
  <w:style w:type="table" w:styleId="1065" w:customStyle="1">
    <w:name w:val="网格型1"/>
    <w:basedOn w:val="1022"/>
    <w:uiPriority w:val="0"/>
    <w:qFormat/>
    <w:pPr>
      <w:jc w:val="both"/>
      <w:widowControl w:val="off"/>
    </w:pPr>
    <w:rPr>
      <w:rFonts w:ascii="Calibri" w:hAnsi="Calibri"/>
    </w:rPr>
    <w:tblPr>
      <w:tblCellMar>
        <w:left w:w="0" w:type="dxa"/>
        <w:top w:w="0" w:type="dxa"/>
        <w:right w:w="0" w:type="dxa"/>
        <w:bottom w:w="0" w:type="dxa"/>
      </w:tblCellMar>
    </w:tblPr>
  </w:style>
  <w:style w:type="character" w:styleId="1066" w:customStyle="1">
    <w:name w:val="要点1"/>
    <w:uiPriority w:val="0"/>
    <w:qFormat/>
    <w:rPr>
      <w:rFonts w:ascii="Tahoma" w:hAnsi="Tahoma" w:eastAsia="宋体"/>
      <w:b/>
      <w:bCs/>
      <w:spacing w:val="10"/>
      <w:sz w:val="24"/>
      <w:lang w:val="en-US" w:eastAsia="zh-CN" w:bidi="ar-SA"/>
    </w:rPr>
  </w:style>
  <w:style w:type="character" w:styleId="1067" w:customStyle="1">
    <w:name w:val="页码1"/>
    <w:uiPriority w:val="0"/>
    <w:qFormat/>
  </w:style>
  <w:style w:type="character" w:styleId="1068" w:customStyle="1">
    <w:name w:val="已访问的超链接1"/>
    <w:uiPriority w:val="0"/>
    <w:qFormat/>
    <w:rPr>
      <w:color w:val="333333"/>
      <w:u w:val="none"/>
    </w:rPr>
  </w:style>
  <w:style w:type="character" w:styleId="1069" w:customStyle="1">
    <w:name w:val="强调1"/>
    <w:uiPriority w:val="0"/>
    <w:qFormat/>
    <w:rPr>
      <w:rFonts w:ascii="Times New Roman" w:hAnsi="Times New Roman"/>
      <w:i/>
      <w:iCs/>
      <w:sz w:val="21"/>
      <w:szCs w:val="20"/>
    </w:rPr>
  </w:style>
  <w:style w:type="character" w:styleId="1070" w:customStyle="1">
    <w:name w:val="HTML 定义1"/>
    <w:uiPriority w:val="0"/>
    <w:qFormat/>
    <w:rPr>
      <w:i/>
    </w:rPr>
  </w:style>
  <w:style w:type="character" w:styleId="1071" w:customStyle="1">
    <w:name w:val="超链接1"/>
    <w:uiPriority w:val="0"/>
    <w:qFormat/>
    <w:rPr>
      <w:color w:val="333333"/>
      <w:u w:val="none"/>
    </w:rPr>
  </w:style>
  <w:style w:type="character" w:styleId="1072" w:customStyle="1">
    <w:name w:val="HTML 代码1"/>
    <w:uiPriority w:val="0"/>
    <w:qFormat/>
    <w:rPr>
      <w:rFonts w:ascii="Consolas" w:hAnsi="Consolas" w:eastAsia="Consolas"/>
      <w:color w:val="c7254e"/>
      <w:sz w:val="21"/>
      <w:szCs w:val="21"/>
      <w:shd w:val="clear" w:color="auto" w:fill="f9f2f4"/>
    </w:rPr>
  </w:style>
  <w:style w:type="character" w:styleId="1073" w:customStyle="1">
    <w:name w:val="批注引用1"/>
    <w:uiPriority w:val="0"/>
    <w:qFormat/>
    <w:rPr>
      <w:sz w:val="21"/>
      <w:szCs w:val="21"/>
    </w:rPr>
  </w:style>
  <w:style w:type="character" w:styleId="1074" w:customStyle="1">
    <w:name w:val="HTML 键盘1"/>
    <w:uiPriority w:val="0"/>
    <w:qFormat/>
    <w:rPr>
      <w:rFonts w:ascii="Consolas" w:hAnsi="Consolas" w:eastAsia="Consolas"/>
      <w:color w:val="ffffff"/>
      <w:sz w:val="21"/>
      <w:szCs w:val="21"/>
      <w:shd w:val="clear" w:color="auto" w:fill="333333"/>
    </w:rPr>
  </w:style>
  <w:style w:type="character" w:styleId="1075" w:customStyle="1">
    <w:name w:val="HTML 样本1"/>
    <w:uiPriority w:val="0"/>
    <w:qFormat/>
    <w:rPr>
      <w:rFonts w:ascii="Consolas" w:hAnsi="Consolas" w:eastAsia="Consolas"/>
      <w:sz w:val="21"/>
      <w:szCs w:val="21"/>
    </w:rPr>
  </w:style>
  <w:style w:type="character" w:styleId="1076" w:customStyle="1">
    <w:name w:val="ca-161"/>
    <w:uiPriority w:val="0"/>
    <w:qFormat/>
    <w:rPr>
      <w:rFonts w:ascii="宋体" w:hAnsi="宋体" w:eastAsia="宋体"/>
      <w:spacing w:val="0"/>
      <w:sz w:val="21"/>
      <w:szCs w:val="21"/>
    </w:rPr>
  </w:style>
  <w:style w:type="character" w:styleId="1077" w:customStyle="1">
    <w:name w:val="列出段落 Char"/>
    <w:link w:val="1078"/>
    <w:uiPriority w:val="0"/>
    <w:qFormat/>
    <w:rPr>
      <w:rFonts w:ascii="Calibri" w:hAnsi="Calibri" w:eastAsia="宋体"/>
    </w:rPr>
  </w:style>
  <w:style w:type="paragraph" w:styleId="1078" w:customStyle="1">
    <w:name w:val="列出段落1"/>
    <w:basedOn w:val="840"/>
    <w:link w:val="1077"/>
    <w:uiPriority w:val="0"/>
    <w:qFormat/>
    <w:pPr>
      <w:ind w:firstLine="200"/>
    </w:pPr>
    <w:rPr>
      <w:rFonts w:ascii="Calibri" w:hAnsi="Calibri"/>
      <w:sz w:val="20"/>
      <w:szCs w:val="20"/>
    </w:rPr>
  </w:style>
  <w:style w:type="character" w:styleId="1079" w:customStyle="1">
    <w:name w:val="表格文字 Char"/>
    <w:link w:val="1080"/>
    <w:uiPriority w:val="0"/>
    <w:qFormat/>
    <w:rPr>
      <w:sz w:val="21"/>
      <w:szCs w:val="21"/>
    </w:rPr>
  </w:style>
  <w:style w:type="paragraph" w:styleId="1080" w:customStyle="1">
    <w:name w:val="表格文字"/>
    <w:basedOn w:val="840"/>
    <w:link w:val="1079"/>
    <w:uiPriority w:val="0"/>
    <w:qFormat/>
    <w:pPr>
      <w:jc w:val="left"/>
    </w:pPr>
    <w:rPr>
      <w:sz w:val="20"/>
      <w:szCs w:val="21"/>
    </w:rPr>
  </w:style>
  <w:style w:type="character" w:styleId="1081" w:customStyle="1">
    <w:name w:val="标题 5 字符"/>
    <w:uiPriority w:val="0"/>
    <w:semiHidden/>
    <w:qFormat/>
    <w:rPr>
      <w:rFonts w:ascii="Calibri" w:hAnsi="Calibri"/>
      <w:b/>
      <w:bCs/>
      <w:sz w:val="28"/>
      <w:szCs w:val="28"/>
    </w:rPr>
  </w:style>
  <w:style w:type="character" w:styleId="1082" w:customStyle="1">
    <w:name w:val="文档结构图 Char1"/>
    <w:uiPriority w:val="0"/>
    <w:semiHidden/>
    <w:qFormat/>
    <w:rPr>
      <w:rFonts w:ascii="宋体"/>
      <w:sz w:val="18"/>
      <w:szCs w:val="18"/>
    </w:rPr>
  </w:style>
  <w:style w:type="character" w:styleId="1083" w:customStyle="1">
    <w:name w:val="font201"/>
    <w:uiPriority w:val="0"/>
    <w:qFormat/>
    <w:rPr>
      <w:rFonts w:ascii="Times New Roman" w:hAnsi="Times New Roman"/>
      <w:color w:val="000000"/>
      <w:sz w:val="20"/>
      <w:szCs w:val="20"/>
      <w:u w:val="none"/>
    </w:rPr>
  </w:style>
  <w:style w:type="character" w:styleId="1084" w:customStyle="1">
    <w:name w:val="不明显强调1"/>
    <w:uiPriority w:val="0"/>
    <w:qFormat/>
    <w:rPr>
      <w:rFonts w:ascii="Times New Roman" w:hAnsi="Times New Roman"/>
      <w:i/>
      <w:iCs/>
      <w:color w:val="808080"/>
      <w:sz w:val="21"/>
      <w:szCs w:val="20"/>
    </w:rPr>
  </w:style>
  <w:style w:type="character" w:styleId="1085" w:customStyle="1">
    <w:name w:val="H2 Char"/>
    <w:uiPriority w:val="0"/>
    <w:qFormat/>
    <w:rPr>
      <w:rFonts w:ascii="Arial" w:hAnsi="Arial" w:eastAsia="黑体"/>
      <w:b/>
      <w:bCs/>
      <w:sz w:val="32"/>
      <w:szCs w:val="32"/>
    </w:rPr>
  </w:style>
  <w:style w:type="character" w:styleId="1086" w:customStyle="1">
    <w:name w:val="font41"/>
    <w:basedOn w:val="798"/>
    <w:uiPriority w:val="0"/>
    <w:qFormat/>
    <w:rPr>
      <w:rFonts w:ascii="宋体" w:hAnsi="宋体" w:eastAsia="宋体"/>
      <w:color w:val="000000"/>
      <w:sz w:val="32"/>
      <w:szCs w:val="32"/>
      <w:u w:val="none"/>
    </w:rPr>
  </w:style>
  <w:style w:type="character" w:styleId="1087" w:customStyle="1">
    <w:name w:val="font191"/>
    <w:uiPriority w:val="0"/>
    <w:qFormat/>
    <w:rPr>
      <w:rFonts w:ascii="Wingdings 2" w:hAnsi="Wingdings 2" w:eastAsia="Wingdings 2"/>
      <w:color w:val="000000"/>
      <w:sz w:val="20"/>
      <w:szCs w:val="20"/>
      <w:u w:val="none"/>
    </w:rPr>
  </w:style>
  <w:style w:type="character" w:styleId="1088" w:customStyle="1">
    <w:name w:val="font231"/>
    <w:uiPriority w:val="0"/>
    <w:qFormat/>
    <w:rPr>
      <w:rFonts w:ascii="宋体" w:hAnsi="宋体" w:eastAsia="宋体"/>
      <w:color w:val="000000"/>
      <w:sz w:val="20"/>
      <w:szCs w:val="20"/>
      <w:u w:val="none"/>
    </w:rPr>
  </w:style>
  <w:style w:type="character" w:styleId="1089" w:customStyle="1">
    <w:name w:val="font241"/>
    <w:uiPriority w:val="0"/>
    <w:qFormat/>
    <w:rPr>
      <w:rFonts w:ascii="宋体" w:hAnsi="宋体" w:eastAsia="宋体"/>
      <w:color w:val="000000"/>
      <w:sz w:val="20"/>
      <w:szCs w:val="20"/>
      <w:u w:val="none"/>
    </w:rPr>
  </w:style>
  <w:style w:type="character" w:styleId="1090" w:customStyle="1">
    <w:name w:val="Char Char9"/>
    <w:uiPriority w:val="0"/>
    <w:qFormat/>
    <w:rPr>
      <w:rFonts w:ascii="等线 Light" w:hAnsi="等线 Light" w:eastAsia="等线 Light"/>
      <w:b/>
      <w:bCs/>
      <w:sz w:val="28"/>
      <w:szCs w:val="28"/>
    </w:rPr>
  </w:style>
  <w:style w:type="character" w:styleId="1091" w:customStyle="1">
    <w:name w:val="Char Char10"/>
    <w:uiPriority w:val="0"/>
    <w:qFormat/>
    <w:rPr>
      <w:rFonts w:ascii="Arial" w:hAnsi="Arial" w:eastAsia="黑体"/>
      <w:b/>
      <w:bCs/>
      <w:sz w:val="30"/>
      <w:szCs w:val="32"/>
    </w:rPr>
  </w:style>
  <w:style w:type="character" w:styleId="1092" w:customStyle="1">
    <w:name w:val="表格样式居左 Char"/>
    <w:link w:val="1093"/>
    <w:uiPriority w:val="0"/>
    <w:qFormat/>
    <w:rPr>
      <w:rFonts w:eastAsia="仿宋_GB2312"/>
      <w:bCs/>
      <w:color w:val="000000"/>
      <w:sz w:val="21"/>
      <w:szCs w:val="44"/>
      <w:lang w:val="en-US" w:eastAsia="zh-CN" w:bidi="ar-SA"/>
    </w:rPr>
  </w:style>
  <w:style w:type="paragraph" w:styleId="1093" w:customStyle="1">
    <w:name w:val="表格样式居左"/>
    <w:link w:val="1092"/>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4" w:customStyle="1">
    <w:name w:val="font101"/>
    <w:uiPriority w:val="0"/>
    <w:qFormat/>
    <w:rPr>
      <w:rFonts w:ascii="宋体" w:hAnsi="宋体" w:eastAsia="宋体"/>
      <w:b/>
      <w:color w:val="000000"/>
      <w:sz w:val="18"/>
      <w:szCs w:val="18"/>
      <w:u w:val="none"/>
    </w:rPr>
  </w:style>
  <w:style w:type="character" w:styleId="1095" w:customStyle="1">
    <w:name w:val="段落 Char1"/>
    <w:link w:val="1096"/>
    <w:uiPriority w:val="0"/>
    <w:qFormat/>
    <w:rPr>
      <w:rFonts w:eastAsia="仿宋_GB2312"/>
      <w:sz w:val="32"/>
      <w:szCs w:val="32"/>
      <w:lang w:val="en-US" w:eastAsia="zh-CN" w:bidi="ar-SA"/>
    </w:rPr>
  </w:style>
  <w:style w:type="paragraph" w:styleId="1096" w:customStyle="1">
    <w:name w:val="段落"/>
    <w:link w:val="1095"/>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097" w:customStyle="1">
    <w:name w:val="font131"/>
    <w:basedOn w:val="798"/>
    <w:uiPriority w:val="0"/>
    <w:qFormat/>
    <w:rPr>
      <w:rFonts w:ascii="Wingdings 2" w:hAnsi="Wingdings 2" w:eastAsia="Wingdings 2"/>
      <w:color w:val="000000"/>
      <w:sz w:val="20"/>
      <w:szCs w:val="20"/>
      <w:u w:val="none"/>
    </w:rPr>
  </w:style>
  <w:style w:type="character" w:styleId="1098" w:customStyle="1">
    <w:name w:val="一级缩进 Char"/>
    <w:link w:val="1099"/>
    <w:uiPriority w:val="0"/>
    <w:qFormat/>
    <w:rPr>
      <w:rFonts w:eastAsia="仿宋_GB2312"/>
      <w:sz w:val="32"/>
      <w:szCs w:val="32"/>
      <w:lang w:val="en-US" w:eastAsia="zh-CN" w:bidi="ar-SA"/>
    </w:rPr>
  </w:style>
  <w:style w:type="paragraph" w:styleId="1099" w:customStyle="1">
    <w:name w:val="一级缩进"/>
    <w:link w:val="1098"/>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100" w:customStyle="1">
    <w:name w:val="正文文本 3 Char1"/>
    <w:uiPriority w:val="0"/>
    <w:semiHidden/>
    <w:qFormat/>
    <w:rPr>
      <w:sz w:val="16"/>
      <w:szCs w:val="16"/>
    </w:rPr>
  </w:style>
  <w:style w:type="character" w:styleId="1101" w:customStyle="1">
    <w:name w:val="apple-style-span"/>
    <w:uiPriority w:val="0"/>
    <w:qFormat/>
  </w:style>
  <w:style w:type="character" w:styleId="1102" w:customStyle="1">
    <w:name w:val="批注框文本 Char1"/>
    <w:uiPriority w:val="0"/>
    <w:semiHidden/>
    <w:qFormat/>
    <w:rPr>
      <w:rFonts w:ascii="Times New Roman" w:hAnsi="Times New Roman"/>
      <w:sz w:val="18"/>
      <w:szCs w:val="18"/>
    </w:rPr>
  </w:style>
  <w:style w:type="character" w:styleId="1103" w:customStyle="1">
    <w:name w:val="font221"/>
    <w:uiPriority w:val="0"/>
    <w:qFormat/>
    <w:rPr>
      <w:rFonts w:ascii="宋体" w:hAnsi="宋体" w:eastAsia="宋体"/>
      <w:b/>
      <w:color w:val="000000"/>
      <w:sz w:val="20"/>
      <w:szCs w:val="20"/>
      <w:u w:val="none"/>
    </w:rPr>
  </w:style>
  <w:style w:type="character" w:styleId="1104" w:customStyle="1">
    <w:name w:val="font61"/>
    <w:uiPriority w:val="0"/>
    <w:qFormat/>
    <w:rPr>
      <w:rFonts w:ascii="宋体" w:hAnsi="宋体" w:eastAsia="宋体"/>
      <w:color w:val="000000"/>
      <w:sz w:val="20"/>
      <w:szCs w:val="20"/>
      <w:u w:val="none"/>
    </w:rPr>
  </w:style>
  <w:style w:type="character" w:styleId="1105" w:customStyle="1">
    <w:name w:val="top_title1"/>
    <w:uiPriority w:val="0"/>
    <w:qFormat/>
    <w:rPr>
      <w:b/>
      <w:bCs/>
      <w:color w:val="333333"/>
      <w:sz w:val="24"/>
      <w:szCs w:val="24"/>
    </w:rPr>
  </w:style>
  <w:style w:type="character" w:styleId="1106" w:customStyle="1">
    <w:name w:val="font81"/>
    <w:uiPriority w:val="0"/>
    <w:qFormat/>
    <w:rPr>
      <w:rFonts w:ascii="Symbol" w:hAnsi="Symbol"/>
      <w:color w:val="000000"/>
      <w:sz w:val="20"/>
      <w:szCs w:val="20"/>
      <w:u w:val="none"/>
    </w:rPr>
  </w:style>
  <w:style w:type="character" w:styleId="1107" w:customStyle="1">
    <w:name w:val="font141"/>
    <w:uiPriority w:val="0"/>
    <w:qFormat/>
    <w:rPr>
      <w:rFonts w:ascii="宋体" w:hAnsi="宋体" w:eastAsia="宋体"/>
      <w:color w:val="ff0000"/>
      <w:sz w:val="20"/>
      <w:szCs w:val="20"/>
      <w:u w:val="none"/>
      <w:vertAlign w:val="superscript"/>
    </w:rPr>
  </w:style>
  <w:style w:type="character" w:styleId="1108" w:customStyle="1">
    <w:name w:val="正文文本缩进 Char1"/>
    <w:uiPriority w:val="0"/>
    <w:semiHidden/>
    <w:qFormat/>
  </w:style>
  <w:style w:type="character" w:styleId="1109" w:customStyle="1">
    <w:name w:val="正文缩进 Char1"/>
    <w:uiPriority w:val="0"/>
    <w:qFormat/>
    <w:rPr>
      <w:rFonts w:ascii="Times New Roman" w:hAnsi="Times New Roman" w:eastAsia="宋体"/>
      <w:sz w:val="20"/>
      <w:szCs w:val="20"/>
    </w:rPr>
  </w:style>
  <w:style w:type="character" w:styleId="1110" w:customStyle="1">
    <w:name w:val="font11"/>
    <w:uiPriority w:val="0"/>
    <w:qFormat/>
    <w:rPr>
      <w:rFonts w:ascii="宋体" w:hAnsi="宋体" w:eastAsia="宋体"/>
      <w:color w:val="000000"/>
      <w:sz w:val="20"/>
      <w:szCs w:val="20"/>
      <w:u w:val="none"/>
    </w:rPr>
  </w:style>
  <w:style w:type="character" w:styleId="1111" w:customStyle="1">
    <w:name w:val="表格样式居中 Char"/>
    <w:link w:val="1112"/>
    <w:uiPriority w:val="0"/>
    <w:qFormat/>
    <w:rPr>
      <w:rFonts w:ascii="宋体" w:hAnsi="宋体"/>
      <w:bCs/>
      <w:sz w:val="21"/>
      <w:szCs w:val="21"/>
      <w:lang w:val="zh-CN" w:eastAsia="zh-CN" w:bidi="ar-SA"/>
    </w:rPr>
  </w:style>
  <w:style w:type="paragraph" w:styleId="1112" w:customStyle="1">
    <w:name w:val="表格样式居中"/>
    <w:link w:val="1111"/>
    <w:uiPriority w:val="0"/>
    <w:qFormat/>
    <w:pPr>
      <w:jc w:val="center"/>
      <w:spacing w:line="360" w:lineRule="auto"/>
    </w:pPr>
    <w:rPr>
      <w:rFonts w:ascii="宋体" w:hAnsi="宋体" w:eastAsia="宋体" w:cs="Times New Roman"/>
      <w:bCs/>
      <w:sz w:val="21"/>
      <w:szCs w:val="21"/>
      <w:lang w:val="zh-CN" w:eastAsia="zh-CN" w:bidi="ar-SA"/>
    </w:rPr>
  </w:style>
  <w:style w:type="character" w:styleId="1113" w:customStyle="1">
    <w:name w:val="正文文本缩进 2 Char1"/>
    <w:uiPriority w:val="0"/>
    <w:semiHidden/>
    <w:qFormat/>
  </w:style>
  <w:style w:type="character" w:styleId="1114" w:customStyle="1">
    <w:name w:val="font161"/>
    <w:uiPriority w:val="0"/>
    <w:qFormat/>
    <w:rPr>
      <w:rFonts w:ascii="宋体" w:hAnsi="宋体" w:eastAsia="宋体"/>
      <w:b/>
      <w:color w:val="ff0000"/>
      <w:sz w:val="20"/>
      <w:szCs w:val="20"/>
      <w:u w:val="none"/>
    </w:rPr>
  </w:style>
  <w:style w:type="character" w:styleId="1115" w:customStyle="1">
    <w:name w:val="批注主题 Char1"/>
    <w:uiPriority w:val="0"/>
    <w:semiHidden/>
    <w:qFormat/>
    <w:rPr>
      <w:rFonts w:ascii="Times New Roman" w:hAnsi="Times New Roman" w:eastAsia="宋体"/>
      <w:b/>
      <w:bCs/>
      <w:sz w:val="24"/>
      <w:szCs w:val="24"/>
    </w:rPr>
  </w:style>
  <w:style w:type="character" w:styleId="1116" w:customStyle="1">
    <w:name w:val="font51"/>
    <w:uiPriority w:val="0"/>
    <w:qFormat/>
    <w:rPr>
      <w:rFonts w:ascii="宋体" w:hAnsi="宋体" w:eastAsia="宋体"/>
      <w:b/>
      <w:color w:val="000000"/>
      <w:sz w:val="20"/>
      <w:szCs w:val="20"/>
      <w:u w:val="none"/>
    </w:rPr>
  </w:style>
  <w:style w:type="character" w:styleId="1117" w:customStyle="1">
    <w:name w:val="font01"/>
    <w:uiPriority w:val="0"/>
    <w:qFormat/>
    <w:rPr>
      <w:rFonts w:ascii="宋体" w:hAnsi="宋体" w:eastAsia="宋体"/>
      <w:color w:val="000000"/>
      <w:sz w:val="24"/>
      <w:szCs w:val="24"/>
      <w:u w:val="none"/>
    </w:rPr>
  </w:style>
  <w:style w:type="character" w:styleId="1118" w:customStyle="1">
    <w:name w:val="批注文字 Char"/>
    <w:uiPriority w:val="0"/>
    <w:qFormat/>
    <w:rPr>
      <w:sz w:val="21"/>
      <w:szCs w:val="22"/>
    </w:rPr>
  </w:style>
  <w:style w:type="character" w:styleId="1119" w:customStyle="1">
    <w:name w:val="unnamed11"/>
    <w:uiPriority w:val="0"/>
    <w:qFormat/>
    <w:rPr>
      <w:rFonts w:ascii="宋体" w:hAnsi="宋体" w:eastAsia="宋体"/>
      <w:sz w:val="21"/>
      <w:szCs w:val="21"/>
    </w:rPr>
  </w:style>
  <w:style w:type="character" w:styleId="1120" w:customStyle="1">
    <w:name w:val="font71"/>
    <w:uiPriority w:val="0"/>
    <w:qFormat/>
    <w:rPr>
      <w:rFonts w:ascii="宋体" w:hAnsi="宋体" w:eastAsia="宋体"/>
      <w:color w:val="000000"/>
      <w:sz w:val="20"/>
      <w:szCs w:val="20"/>
      <w:u w:val="none"/>
    </w:rPr>
  </w:style>
  <w:style w:type="character" w:styleId="1121" w:customStyle="1">
    <w:name w:val="Char Char8"/>
    <w:uiPriority w:val="0"/>
    <w:qFormat/>
    <w:rPr>
      <w:rFonts w:ascii="Calibri" w:hAnsi="Calibri" w:eastAsia="宋体"/>
      <w:b/>
      <w:bCs/>
      <w:sz w:val="28"/>
      <w:szCs w:val="28"/>
    </w:rPr>
  </w:style>
  <w:style w:type="character" w:styleId="1122" w:customStyle="1">
    <w:name w:val="Char Char11"/>
    <w:uiPriority w:val="0"/>
    <w:qFormat/>
    <w:rPr>
      <w:rFonts w:ascii="Arial" w:hAnsi="Arial" w:eastAsia="宋体"/>
      <w:b/>
      <w:bCs/>
      <w:sz w:val="28"/>
      <w:szCs w:val="36"/>
    </w:rPr>
  </w:style>
  <w:style w:type="character" w:styleId="1123" w:customStyle="1">
    <w:name w:val="Char Char12"/>
    <w:uiPriority w:val="0"/>
    <w:qFormat/>
    <w:rPr>
      <w:b/>
      <w:bCs/>
      <w:sz w:val="44"/>
      <w:szCs w:val="44"/>
    </w:rPr>
  </w:style>
  <w:style w:type="character" w:styleId="1124" w:customStyle="1">
    <w:name w:val="font111"/>
    <w:uiPriority w:val="0"/>
    <w:qFormat/>
    <w:rPr>
      <w:rFonts w:ascii="宋体" w:hAnsi="宋体" w:eastAsia="宋体"/>
      <w:color w:val="ff0000"/>
      <w:sz w:val="18"/>
      <w:szCs w:val="18"/>
      <w:u w:val="none"/>
    </w:rPr>
  </w:style>
  <w:style w:type="character" w:styleId="1125" w:customStyle="1">
    <w:name w:val="font21"/>
    <w:uiPriority w:val="0"/>
    <w:qFormat/>
    <w:rPr>
      <w:rFonts w:ascii="仿宋_GB2312" w:hAnsi="Times New Roman" w:eastAsia="仿宋_GB2312"/>
      <w:color w:val="000000"/>
      <w:sz w:val="22"/>
      <w:szCs w:val="22"/>
      <w:u w:val="none"/>
    </w:rPr>
  </w:style>
  <w:style w:type="character" w:styleId="1126" w:customStyle="1">
    <w:name w:val="无间隔 Char"/>
    <w:link w:val="1127"/>
    <w:uiPriority w:val="0"/>
    <w:qFormat/>
    <w:rPr>
      <w:sz w:val="21"/>
      <w:szCs w:val="22"/>
      <w:lang w:val="en-US" w:eastAsia="zh-CN" w:bidi="ar-SA"/>
    </w:rPr>
  </w:style>
  <w:style w:type="paragraph" w:styleId="1127" w:customStyle="1">
    <w:name w:val="msonospacing"/>
    <w:link w:val="1126"/>
    <w:uiPriority w:val="0"/>
    <w:qFormat/>
    <w:pPr>
      <w:jc w:val="both"/>
      <w:widowControl w:val="off"/>
    </w:pPr>
    <w:rPr>
      <w:rFonts w:ascii="Times New Roman" w:hAnsi="Times New Roman" w:eastAsia="宋体" w:cs="Times New Roman"/>
      <w:sz w:val="21"/>
      <w:szCs w:val="22"/>
      <w:lang w:val="en-US" w:eastAsia="zh-CN" w:bidi="ar-SA"/>
    </w:rPr>
  </w:style>
  <w:style w:type="character" w:styleId="1128" w:customStyle="1">
    <w:name w:val="font211"/>
    <w:uiPriority w:val="0"/>
    <w:qFormat/>
    <w:rPr>
      <w:rFonts w:ascii="宋体" w:hAnsi="宋体" w:eastAsia="宋体"/>
      <w:color w:val="ff0000"/>
      <w:sz w:val="20"/>
      <w:szCs w:val="20"/>
      <w:u w:val="none"/>
      <w:vertAlign w:val="superscript"/>
    </w:rPr>
  </w:style>
  <w:style w:type="character" w:styleId="1129" w:customStyle="1">
    <w:name w:val="NormalCharacter"/>
    <w:uiPriority w:val="0"/>
    <w:qFormat/>
    <w:rPr>
      <w:sz w:val="21"/>
      <w:szCs w:val="22"/>
      <w:lang w:val="en-US" w:eastAsia="zh-CN" w:bidi="ar-SA"/>
    </w:rPr>
  </w:style>
  <w:style w:type="character" w:styleId="1130" w:customStyle="1">
    <w:name w:val="font171"/>
    <w:uiPriority w:val="0"/>
    <w:qFormat/>
    <w:rPr>
      <w:rFonts w:ascii="宋体" w:hAnsi="宋体" w:eastAsia="宋体"/>
      <w:color w:val="000000"/>
      <w:sz w:val="20"/>
      <w:szCs w:val="20"/>
      <w:u w:val="none"/>
    </w:rPr>
  </w:style>
  <w:style w:type="character" w:styleId="1131" w:customStyle="1">
    <w:name w:val="项目排列 Char"/>
    <w:link w:val="1132"/>
    <w:uiPriority w:val="0"/>
    <w:qFormat/>
    <w:rPr>
      <w:sz w:val="24"/>
      <w:szCs w:val="24"/>
    </w:rPr>
  </w:style>
  <w:style w:type="paragraph" w:styleId="1132" w:customStyle="1">
    <w:name w:val="项目排列"/>
    <w:basedOn w:val="840"/>
    <w:link w:val="1131"/>
    <w:uiPriority w:val="0"/>
    <w:qFormat/>
    <w:pPr>
      <w:numPr>
        <w:ilvl w:val="0"/>
        <w:numId w:val="2"/>
      </w:numPr>
      <w:spacing w:before="156" w:after="156" w:line="300" w:lineRule="auto"/>
      <w:tabs>
        <w:tab w:val="left" w:pos="900" w:leader="none"/>
      </w:tabs>
    </w:pPr>
    <w:rPr>
      <w:sz w:val="24"/>
      <w:szCs w:val="24"/>
    </w:rPr>
  </w:style>
  <w:style w:type="character" w:styleId="1133" w:customStyle="1">
    <w:name w:val="hover4"/>
    <w:uiPriority w:val="0"/>
    <w:qFormat/>
    <w:rPr>
      <w:color w:val="999999"/>
    </w:rPr>
  </w:style>
  <w:style w:type="character" w:styleId="1134" w:customStyle="1">
    <w:name w:val="font91"/>
    <w:link w:val="840"/>
    <w:uiPriority w:val="0"/>
    <w:qFormat/>
    <w:rPr>
      <w:rFonts w:ascii="宋体" w:hAnsi="宋体" w:eastAsia="宋体"/>
      <w:color w:val="000000"/>
      <w:sz w:val="16"/>
      <w:szCs w:val="16"/>
      <w:u w:val="none"/>
    </w:rPr>
  </w:style>
  <w:style w:type="paragraph" w:styleId="1135" w:customStyle="1">
    <w:name w:val="Char"/>
    <w:basedOn w:val="840"/>
    <w:uiPriority w:val="0"/>
    <w:qFormat/>
    <w:pPr>
      <w:ind w:left="1350" w:hanging="1350"/>
      <w:tabs>
        <w:tab w:val="left" w:pos="1350" w:leader="none"/>
      </w:tabs>
    </w:pPr>
    <w:rPr>
      <w:sz w:val="24"/>
      <w:szCs w:val="24"/>
    </w:rPr>
  </w:style>
  <w:style w:type="paragraph" w:styleId="1136" w:customStyle="1">
    <w:name w:val="正文 1.1.1"/>
    <w:basedOn w:val="840"/>
    <w:next w:val="840"/>
    <w:uiPriority w:val="0"/>
    <w:qFormat/>
    <w:pPr>
      <w:numPr>
        <w:ilvl w:val="2"/>
        <w:numId w:val="3"/>
      </w:numPr>
      <w:outlineLvl w:val="2"/>
    </w:pPr>
    <w:rPr>
      <w:rFonts w:hAnsi="宋体"/>
      <w:color w:val="ff0000"/>
    </w:rPr>
  </w:style>
  <w:style w:type="paragraph" w:styleId="1137" w:customStyle="1">
    <w:name w:val="Default Paragraph Font Para Char"/>
    <w:basedOn w:val="840"/>
    <w:uiPriority w:val="0"/>
    <w:qFormat/>
    <w:pPr>
      <w:jc w:val="left"/>
      <w:spacing w:before="156" w:after="160" w:line="240" w:lineRule="exact"/>
      <w:widowControl/>
    </w:pPr>
    <w:rPr>
      <w:rFonts w:ascii="Verdana" w:hAnsi="Verdana"/>
      <w:sz w:val="20"/>
      <w:szCs w:val="20"/>
      <w:lang w:eastAsia="en-US"/>
    </w:rPr>
  </w:style>
  <w:style w:type="paragraph" w:styleId="1138" w:customStyle="1">
    <w:name w:val="unnamed1"/>
    <w:basedOn w:val="840"/>
    <w:uiPriority w:val="0"/>
    <w:qFormat/>
    <w:pPr>
      <w:jc w:val="left"/>
      <w:spacing w:before="100" w:beforeAutospacing="1" w:after="100" w:afterAutospacing="1" w:line="288" w:lineRule="auto"/>
      <w:widowControl/>
    </w:pPr>
    <w:rPr>
      <w:rFonts w:ascii="宋体" w:hAnsi="宋体"/>
      <w:szCs w:val="21"/>
    </w:rPr>
  </w:style>
  <w:style w:type="paragraph" w:styleId="1139" w:customStyle="1">
    <w:name w:val="正文 New New New New New New New New New New New New New New"/>
    <w:next w:val="823"/>
    <w:uiPriority w:val="0"/>
    <w:qFormat/>
    <w:pPr>
      <w:ind w:firstLine="2048"/>
      <w:jc w:val="both"/>
      <w:widowControl w:val="off"/>
    </w:pPr>
    <w:rPr>
      <w:rFonts w:ascii="Calibri" w:hAnsi="Calibri" w:eastAsia="宋体" w:cs="Times New Roman"/>
      <w:lang w:val="en-US" w:eastAsia="zh-CN" w:bidi="ar-SA"/>
    </w:rPr>
  </w:style>
  <w:style w:type="paragraph" w:styleId="1140" w:customStyle="1">
    <w:name w:val="Char1"/>
    <w:basedOn w:val="840"/>
    <w:uiPriority w:val="0"/>
    <w:qFormat/>
    <w:rPr>
      <w:rFonts w:ascii="仿宋_GB2312" w:eastAsia="仿宋_GB2312"/>
      <w:b/>
      <w:sz w:val="32"/>
      <w:szCs w:val="32"/>
    </w:rPr>
  </w:style>
  <w:style w:type="paragraph" w:styleId="1141" w:customStyle="1">
    <w:name w:val="文档正文"/>
    <w:basedOn w:val="840"/>
    <w:uiPriority w:val="0"/>
    <w:qFormat/>
    <w:pPr>
      <w:ind w:firstLine="567"/>
      <w:spacing w:line="480" w:lineRule="atLeast"/>
    </w:pPr>
    <w:rPr>
      <w:rFonts w:ascii="仿宋_GB2312" w:eastAsia="仿宋_GB2312"/>
      <w:sz w:val="28"/>
      <w:szCs w:val="24"/>
    </w:rPr>
  </w:style>
  <w:style w:type="paragraph" w:styleId="1142" w:customStyle="1">
    <w:name w:val="二级目录"/>
    <w:next w:val="840"/>
    <w:uiPriority w:val="0"/>
    <w:qFormat/>
    <w:pPr>
      <w:numPr>
        <w:ilvl w:val="0"/>
        <w:numId w:val="4"/>
      </w:numPr>
      <w:outlineLvl w:val="1"/>
    </w:pPr>
    <w:rPr>
      <w:rFonts w:ascii="Times New Roman" w:hAnsi="Times New Roman" w:eastAsia="宋体" w:cs="Times New Roman"/>
      <w:b/>
      <w:sz w:val="30"/>
      <w:szCs w:val="28"/>
      <w:lang w:val="en-US" w:eastAsia="zh-CN" w:bidi="ar-SA"/>
    </w:rPr>
  </w:style>
  <w:style w:type="paragraph" w:styleId="1143">
    <w:name w:val="List Paragraph"/>
    <w:basedOn w:val="788"/>
    <w:uiPriority w:val="0"/>
    <w:qFormat/>
    <w:pPr>
      <w:ind w:firstLine="420"/>
    </w:pPr>
  </w:style>
  <w:style w:type="paragraph" w:styleId="1144" w:customStyle="1">
    <w:name w:val="_Style 2"/>
    <w:basedOn w:val="840"/>
    <w:uiPriority w:val="0"/>
    <w:qFormat/>
    <w:pPr>
      <w:ind w:firstLine="420"/>
    </w:pPr>
    <w:rPr>
      <w:sz w:val="24"/>
      <w:szCs w:val="24"/>
    </w:rPr>
  </w:style>
  <w:style w:type="paragraph" w:styleId="1145" w:customStyle="1">
    <w:name w:val="正文 A"/>
    <w:uiPriority w:val="0"/>
    <w:qFormat/>
    <w:pPr>
      <w:jc w:val="both"/>
      <w:widowControl w:val="off"/>
      <w:framePr w:wrap="around" w:vAnchor="margin" w:hAnchor="text" w:yAlign="top"/>
    </w:pPr>
    <w:rPr>
      <w:rFonts w:ascii="Times New Roman" w:hAnsi="Times New Roman" w:eastAsia="Arial Unicode MS" w:cs="Times New Roman"/>
      <w:color w:val="000000"/>
      <w:sz w:val="21"/>
      <w:szCs w:val="21"/>
      <w:lang w:val="en-US" w:eastAsia="zh-CN" w:bidi="ar-SA"/>
    </w:rPr>
  </w:style>
  <w:style w:type="paragraph" w:styleId="1146" w:customStyle="1">
    <w:name w:val="文档标题"/>
    <w:basedOn w:val="840"/>
    <w:uiPriority w:val="0"/>
    <w:qFormat/>
    <w:pPr>
      <w:jc w:val="center"/>
      <w:spacing w:before="312" w:after="312" w:line="300" w:lineRule="auto"/>
    </w:pPr>
    <w:rPr>
      <w:rFonts w:ascii="Arial" w:hAnsi="Arial" w:eastAsia="黑体"/>
      <w:b/>
      <w:sz w:val="48"/>
      <w:szCs w:val="32"/>
    </w:rPr>
  </w:style>
  <w:style w:type="paragraph" w:styleId="1147" w:customStyle="1">
    <w:name w:val="Char1 Char Char Char Char Char Char"/>
    <w:basedOn w:val="840"/>
    <w:uiPriority w:val="0"/>
    <w:qFormat/>
    <w:rPr>
      <w:sz w:val="24"/>
      <w:szCs w:val="24"/>
    </w:rPr>
  </w:style>
  <w:style w:type="paragraph" w:styleId="1148" w:customStyle="1">
    <w:name w:val="Char Char Char Char Char Char Char"/>
    <w:basedOn w:val="1033"/>
    <w:uiPriority w:val="0"/>
    <w:qFormat/>
    <w:pPr>
      <w:shd w:val="clear" w:color="auto" w:fill="000080"/>
    </w:pPr>
    <w:rPr>
      <w:rFonts w:ascii="Times New Roman"/>
      <w:sz w:val="21"/>
      <w:szCs w:val="20"/>
    </w:rPr>
  </w:style>
  <w:style w:type="paragraph" w:styleId="1149" w:customStyle="1">
    <w:name w:val="样式 首行缩进:  2 字符"/>
    <w:basedOn w:val="840"/>
    <w:next w:val="1150"/>
    <w:uiPriority w:val="0"/>
    <w:qFormat/>
    <w:pPr>
      <w:ind w:left="480" w:firstLine="5856"/>
      <w:spacing w:line="360" w:lineRule="auto"/>
    </w:pPr>
  </w:style>
  <w:style w:type="paragraph" w:styleId="1150" w:customStyle="1">
    <w:name w:val="样式 段后: 0.25 行"/>
    <w:basedOn w:val="840"/>
    <w:next w:val="1139"/>
    <w:uiPriority w:val="0"/>
    <w:qFormat/>
    <w:pPr>
      <w:ind w:left="420" w:firstLine="5796"/>
      <w:spacing w:line="300" w:lineRule="auto"/>
      <w:widowControl/>
    </w:pPr>
  </w:style>
  <w:style w:type="paragraph" w:styleId="1151"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52" w:customStyle="1">
    <w:name w:val="列出段落2"/>
    <w:basedOn w:val="840"/>
    <w:uiPriority w:val="0"/>
    <w:qFormat/>
    <w:pPr>
      <w:ind w:left="720"/>
    </w:pPr>
    <w:rPr>
      <w:szCs w:val="21"/>
    </w:rPr>
  </w:style>
  <w:style w:type="paragraph" w:styleId="1153" w:customStyle="1">
    <w:name w:val="普通正文"/>
    <w:basedOn w:val="841"/>
    <w:uiPriority w:val="0"/>
    <w:qFormat/>
    <w:pPr>
      <w:jc w:val="left"/>
      <w:spacing w:before="120" w:after="120" w:line="360" w:lineRule="auto"/>
    </w:pPr>
    <w:rPr>
      <w:rFonts w:ascii="Arial" w:hAnsi="Arial" w:eastAsia="宋体"/>
      <w:szCs w:val="24"/>
    </w:rPr>
  </w:style>
  <w:style w:type="paragraph" w:styleId="1154" w:customStyle="1">
    <w:name w:val="正文 1.1"/>
    <w:basedOn w:val="840"/>
    <w:next w:val="1136"/>
    <w:uiPriority w:val="0"/>
    <w:qFormat/>
    <w:pPr>
      <w:numPr>
        <w:ilvl w:val="1"/>
        <w:numId w:val="3"/>
      </w:numPr>
      <w:ind w:firstLine="550"/>
      <w:outlineLvl w:val="1"/>
    </w:pPr>
    <w:rPr>
      <w:rFonts w:ascii="仿宋" w:hAnsi="仿宋"/>
      <w:b/>
    </w:rPr>
  </w:style>
  <w:style w:type="paragraph" w:styleId="1155" w:customStyle="1">
    <w:name w:val="正文文本 21"/>
    <w:basedOn w:val="840"/>
    <w:next w:val="1156"/>
    <w:uiPriority w:val="0"/>
    <w:qFormat/>
    <w:pPr>
      <w:ind w:left="720" w:firstLine="5680"/>
      <w:widowControl/>
    </w:pPr>
  </w:style>
  <w:style w:type="paragraph" w:styleId="1156" w:customStyle="1">
    <w:name w:val="默认段落字体 Para Char Char Char Char Char Char Char"/>
    <w:basedOn w:val="840"/>
    <w:next w:val="1149"/>
    <w:uiPriority w:val="0"/>
    <w:qFormat/>
    <w:pPr>
      <w:ind w:firstLine="200"/>
    </w:pPr>
  </w:style>
  <w:style w:type="paragraph" w:styleId="1157" w:customStyle="1">
    <w:name w:val="Table Paragraph"/>
    <w:basedOn w:val="840"/>
    <w:uiPriority w:val="0"/>
    <w:qFormat/>
    <w:rPr>
      <w:rFonts w:ascii="Calibri" w:hAnsi="Calibri"/>
      <w:lang w:eastAsia="en-US"/>
    </w:rPr>
  </w:style>
  <w:style w:type="paragraph" w:styleId="1158" w:customStyle="1">
    <w:name w:val="正文 New New New New"/>
    <w:uiPriority w:val="0"/>
    <w:qFormat/>
    <w:pPr>
      <w:jc w:val="both"/>
      <w:widowControl w:val="off"/>
    </w:pPr>
    <w:rPr>
      <w:rFonts w:ascii="Times New Roman" w:hAnsi="Times New Roman" w:eastAsia="宋体" w:cs="Times New Roman"/>
      <w:sz w:val="24"/>
      <w:szCs w:val="24"/>
      <w:lang w:val="en-US" w:eastAsia="zh-CN" w:bidi="ar-SA"/>
    </w:rPr>
  </w:style>
  <w:style w:type="paragraph" w:styleId="1159" w:customStyle="1">
    <w:name w:val="Char Char Char Char Char Char Char Char Char"/>
    <w:basedOn w:val="840"/>
    <w:next w:val="1155"/>
    <w:uiPriority w:val="0"/>
    <w:qFormat/>
    <w:pPr>
      <w:ind w:left="360" w:firstLine="5784"/>
    </w:pPr>
  </w:style>
  <w:style w:type="paragraph" w:styleId="1160"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161" w:customStyle="1">
    <w:name w:val="正文（缩进）"/>
    <w:basedOn w:val="840"/>
    <w:next w:val="788"/>
    <w:uiPriority w:val="0"/>
    <w:qFormat/>
    <w:pPr>
      <w:ind w:firstLine="480"/>
    </w:pPr>
  </w:style>
  <w:style w:type="paragraph" w:styleId="1162" w:customStyle="1">
    <w:name w:val="ListBullet2"/>
    <w:basedOn w:val="840"/>
    <w:uiPriority w:val="0"/>
    <w:qFormat/>
    <w:pPr>
      <w:numPr>
        <w:ilvl w:val="0"/>
        <w:numId w:val="5"/>
      </w:numPr>
    </w:pPr>
  </w:style>
  <w:style w:type="paragraph" w:styleId="1163" w:customStyle="1">
    <w:name w:val="CD 正文"/>
    <w:basedOn w:val="840"/>
    <w:uiPriority w:val="0"/>
    <w:qFormat/>
    <w:pPr>
      <w:jc w:val="left"/>
    </w:pPr>
    <w:rPr>
      <w:rFonts w:ascii="Arial" w:hAnsi="Arial" w:eastAsia="微软雅黑"/>
      <w:szCs w:val="21"/>
    </w:rPr>
  </w:style>
  <w:style w:type="paragraph" w:styleId="1164" w:customStyle="1">
    <w:name w:val="纯文本1"/>
    <w:uiPriority w:val="0"/>
    <w:qFormat/>
    <w:pPr>
      <w:spacing w:before="100" w:after="100"/>
      <w:framePr w:wrap="around" w:vAnchor="margin" w:hAnchor="text" w:yAlign="top"/>
    </w:pPr>
    <w:rPr>
      <w:rFonts w:ascii="宋体" w:hAnsi="宋体" w:eastAsia="宋体" w:cs="Times New Roman"/>
      <w:color w:val="000000"/>
      <w:sz w:val="24"/>
      <w:szCs w:val="24"/>
      <w:lang w:val="en-US" w:eastAsia="zh-CN" w:bidi="ar-SA"/>
    </w:rPr>
  </w:style>
  <w:style w:type="paragraph" w:styleId="1165" w:customStyle="1">
    <w:name w:val="Char2"/>
    <w:basedOn w:val="840"/>
    <w:uiPriority w:val="0"/>
    <w:qFormat/>
    <w:pPr>
      <w:ind w:firstLine="200"/>
      <w:tabs>
        <w:tab w:val="left" w:pos="360" w:leader="none"/>
      </w:tabs>
    </w:pPr>
    <w:rPr>
      <w:sz w:val="28"/>
      <w:szCs w:val="30"/>
    </w:rPr>
  </w:style>
  <w:style w:type="paragraph" w:styleId="1166"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167" w:customStyle="1">
    <w:name w:val="p0"/>
    <w:basedOn w:val="840"/>
    <w:uiPriority w:val="0"/>
    <w:qFormat/>
    <w:pPr>
      <w:widowControl/>
    </w:pPr>
    <w:rPr>
      <w:szCs w:val="21"/>
    </w:rPr>
  </w:style>
  <w:style w:type="paragraph" w:styleId="1168" w:customStyle="1">
    <w:name w:val="Table Text"/>
    <w:basedOn w:val="788"/>
    <w:uiPriority w:val="0"/>
    <w:semiHidden/>
    <w:qFormat/>
    <w:pPr>
      <w:spacing w:before="236" w:line="184" w:lineRule="auto"/>
    </w:pPr>
    <w:rPr>
      <w:rFonts w:ascii="宋体" w:hAnsi="宋体" w:cs="宋体"/>
      <w:lang w:eastAsia="en-US"/>
    </w:rPr>
  </w:style>
  <w:style w:type="table" w:styleId="1169" w:customStyle="1">
    <w:name w:val="Table Normal"/>
    <w:uiPriority w:val="0"/>
    <w:semiHidden/>
    <w:unhideWhenUsed/>
    <w:qFormat/>
    <w:tblPr>
      <w:tblCellMar>
        <w:left w:w="0" w:type="dxa"/>
        <w:top w:w="0" w:type="dxa"/>
        <w:right w:w="0" w:type="dxa"/>
        <w:bottom w:w="0" w:type="dxa"/>
      </w:tblCellMar>
    </w:tblPr>
  </w:style>
  <w:style w:type="character" w:styleId="1170" w:customStyle="1">
    <w:name w:val="批注文字 Char1"/>
    <w:basedOn w:val="798"/>
    <w:link w:val="803"/>
    <w:uiPriority w:val="99"/>
    <w:qFormat/>
    <w:rPr>
      <w:szCs w:val="21"/>
    </w:rPr>
  </w:style>
  <w:style w:type="character" w:styleId="1171" w:customStyle="1">
    <w:name w:val="批注主题 Char"/>
    <w:basedOn w:val="1170"/>
    <w:link w:val="827"/>
    <w:uiPriority w:val="99"/>
    <w:semiHidden/>
    <w:qFormat/>
    <w:rPr>
      <w:b/>
      <w:bCs/>
      <w:szCs w:val="21"/>
    </w:rPr>
  </w:style>
  <w:style w:type="paragraph" w:styleId="1172" w:customStyle="1">
    <w:name w:val="正文文本11"/>
    <w:basedOn w:val="788"/>
    <w:next w:val="788"/>
    <w:uiPriority w:val="0"/>
    <w:qFormat/>
    <w:rPr>
      <w:rFonts w:ascii="楷体_GB2312" w:hAnsi="Arial" w:eastAsia="楷体_GB2312"/>
      <w:sz w:val="28"/>
      <w:szCs w:val="28"/>
    </w:rPr>
  </w:style>
  <w:style w:type="character" w:styleId="1173" w:customStyle="1">
    <w:name w:val="批注框文本 Char"/>
    <w:basedOn w:val="798"/>
    <w:link w:val="812"/>
    <w:uiPriority w:val="99"/>
    <w:semiHidden/>
    <w:qFormat/>
    <w:rPr>
      <w:sz w:val="18"/>
      <w:szCs w:val="18"/>
    </w:rPr>
  </w:style>
  <w:style w:type="numbering" w:styleId="1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黄德奇</dc:creator>
  <cp:lastModifiedBy>王云</cp:lastModifiedBy>
  <cp:revision>182</cp:revision>
  <dcterms:created xsi:type="dcterms:W3CDTF">2023-07-04T22:24:00Z</dcterms:created>
  <dcterms:modified xsi:type="dcterms:W3CDTF">2026-07-24T05:01:09Z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CE9FF963D60D09E3AADEB36958B0941C_43</vt:lpwstr>
  </property>
  <property fmtid="{D5CDD505-2E9C-101B-9397-08002B2CF9AE}" pid="4" name="KSOTemplateDocerSaveRecord">
    <vt:lpwstr>eyJoZGlkIjoiNDg4NTlmYWNiMjlhOWU4NzNlMmJmODk1MTkxMWYwODUiLCJ1c2VySWQiOiI0MTk2MzY1OTUifQ==</vt:lpwstr>
  </property>
</Properties>
</file>